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0B2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41F6C0EA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32539B6A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4C7DF325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16E5B0C7" w14:textId="07B916BC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8D1553" w:rsidRPr="008D1553">
        <w:rPr>
          <w:b/>
          <w:sz w:val="22"/>
          <w:szCs w:val="22"/>
        </w:rPr>
        <w:t>Výměna rozvodů vody, kanalizace, ohřev TV ZŠ Studénka 1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04BB9013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2A92CAD9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5C7CA52C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4D9679F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1369020D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3E80648B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5E9E0EB2" w14:textId="77777777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E11020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70A6B993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362828E3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A205B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64CD9C8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6089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9F7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5AED36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0B8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EF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A9ECD0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99F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B9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F0C84D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184E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52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8961733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46D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9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526830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B8E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4D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5670E8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2A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FA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0C1A15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59F8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86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5EB20BC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16DB9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3A0F293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8D8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C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C92BE2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0FC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53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8B14D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EF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644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AAB6767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2CAAB874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5595F89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731268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30FFF0F1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C3E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33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0E66D1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B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26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B430CF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AE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B2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1F51A2B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8E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EE1B7B1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0450B202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26C9ACC0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4E14D58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F9A3FC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05946C94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9B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9F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A12783B" w14:textId="77777777" w:rsidTr="003F5E3F">
        <w:trPr>
          <w:trHeight w:val="34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70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44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BC6CC26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86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5A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4929788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15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F0EFE"/>
    <w:rsid w:val="0012518E"/>
    <w:rsid w:val="001737EA"/>
    <w:rsid w:val="001C25A7"/>
    <w:rsid w:val="003F5E3F"/>
    <w:rsid w:val="006649CE"/>
    <w:rsid w:val="006F6C56"/>
    <w:rsid w:val="007F6DCB"/>
    <w:rsid w:val="008D1553"/>
    <w:rsid w:val="00DE45DA"/>
    <w:rsid w:val="00E11020"/>
    <w:rsid w:val="00E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E3B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10</cp:revision>
  <dcterms:created xsi:type="dcterms:W3CDTF">2022-01-12T15:52:00Z</dcterms:created>
  <dcterms:modified xsi:type="dcterms:W3CDTF">2026-03-23T12:27:00Z</dcterms:modified>
</cp:coreProperties>
</file>