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BA" w:rsidRPr="00E25DBA" w:rsidRDefault="00E25DBA" w:rsidP="00620AEF">
      <w:pPr>
        <w:keepNext/>
        <w:pBdr>
          <w:top w:val="single" w:sz="18" w:space="1" w:color="404041"/>
          <w:left w:val="single" w:sz="18" w:space="4" w:color="404041"/>
          <w:bottom w:val="single" w:sz="18" w:space="1" w:color="404041"/>
          <w:right w:val="single" w:sz="18" w:space="4" w:color="404041"/>
        </w:pBdr>
        <w:shd w:val="clear" w:color="auto" w:fill="404041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E25DBA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Čestné prohlášení – základní způsobilost</w:t>
      </w:r>
    </w:p>
    <w:p w:rsidR="00E25DBA" w:rsidRPr="00E25DBA" w:rsidRDefault="00E25DBA" w:rsidP="00E25DBA">
      <w:pPr>
        <w:spacing w:after="0" w:line="240" w:lineRule="auto"/>
        <w:jc w:val="center"/>
        <w:rPr>
          <w:rFonts w:ascii="Cambria" w:eastAsia="Calibri" w:hAnsi="Cambria" w:cs="Times New Roman"/>
          <w:i/>
          <w:sz w:val="18"/>
        </w:rPr>
      </w:pPr>
      <w:r w:rsidRPr="00E25DBA">
        <w:rPr>
          <w:rFonts w:ascii="Cambria" w:eastAsia="Calibri" w:hAnsi="Cambria" w:cs="Times New Roman"/>
          <w:i/>
          <w:sz w:val="18"/>
        </w:rPr>
        <w:t>V souladu s § 74 zákona č. 134/2016 Sb., o zadávání veřejných zakázek (dále jen „ZZVZ“)</w:t>
      </w: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  <w:i/>
        </w:rPr>
      </w:pP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 xml:space="preserve">Dodavatel </w:t>
      </w:r>
      <w:r w:rsidRPr="00E25DBA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begin"/>
      </w:r>
      <w:r w:rsidRPr="00E25DBA">
        <w:rPr>
          <w:rFonts w:ascii="Cambria" w:eastAsia="Calibri" w:hAnsi="Cambria" w:cs="Times New Roman"/>
          <w:b/>
          <w:highlight w:val="lightGray"/>
          <w:em w:val="comma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, se sídlem </w:t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, IČ: </w:t>
      </w:r>
      <w:r w:rsidR="00AE4564">
        <w:rPr>
          <w:rFonts w:ascii="Cambria" w:eastAsia="Calibri" w:hAnsi="Cambria" w:cs="Times New Roman"/>
          <w:em w:val="comma"/>
          <w:lang w:bidi="en-US"/>
        </w:rPr>
        <w:t>a</w:t>
      </w:r>
      <w:r w:rsidRPr="00E25DBA">
        <w:rPr>
          <w:rFonts w:ascii="Cambria" w:eastAsia="Calibri" w:hAnsi="Cambria" w:cs="Times New Roman"/>
          <w:lang w:bidi="en-US"/>
        </w:rPr>
        <w:t xml:space="preserve">, který je účastníkem v zadávacím řízení veřejné zakázky s názvem </w:t>
      </w:r>
      <w:r w:rsidRPr="00E25DBA">
        <w:rPr>
          <w:rFonts w:ascii="Cambria" w:eastAsia="Calibri" w:hAnsi="Cambria" w:cs="Times New Roman"/>
          <w:b/>
        </w:rPr>
        <w:t>„</w:t>
      </w:r>
      <w:r w:rsidR="00DA71F4" w:rsidRPr="00DA71F4">
        <w:rPr>
          <w:rFonts w:ascii="Cambria" w:eastAsia="Calibri" w:hAnsi="Cambria" w:cs="Times New Roman"/>
          <w:b/>
        </w:rPr>
        <w:t xml:space="preserve">Přírodní koupací biotop Studénka – </w:t>
      </w:r>
      <w:r w:rsidR="00620AEF">
        <w:rPr>
          <w:rFonts w:ascii="Cambria" w:eastAsia="Calibri" w:hAnsi="Cambria" w:cs="Times New Roman"/>
          <w:b/>
        </w:rPr>
        <w:t>třetí</w:t>
      </w:r>
      <w:bookmarkStart w:id="0" w:name="_GoBack"/>
      <w:bookmarkEnd w:id="0"/>
      <w:r w:rsidR="00AE4564">
        <w:rPr>
          <w:rFonts w:ascii="Cambria" w:eastAsia="Calibri" w:hAnsi="Cambria" w:cs="Times New Roman"/>
          <w:b/>
        </w:rPr>
        <w:t xml:space="preserve"> </w:t>
      </w:r>
      <w:r w:rsidR="00DA71F4" w:rsidRPr="00DA71F4">
        <w:rPr>
          <w:rFonts w:ascii="Cambria" w:eastAsia="Calibri" w:hAnsi="Cambria" w:cs="Times New Roman"/>
          <w:b/>
        </w:rPr>
        <w:t>opakované řízení</w:t>
      </w:r>
      <w:r w:rsidRPr="00E25DBA">
        <w:rPr>
          <w:rFonts w:ascii="Cambria" w:eastAsia="Calibri" w:hAnsi="Cambria" w:cs="Times New Roman"/>
          <w:b/>
        </w:rPr>
        <w:t xml:space="preserve">“ </w:t>
      </w:r>
      <w:r w:rsidRPr="00E25DBA">
        <w:rPr>
          <w:rFonts w:ascii="Cambria" w:eastAsia="Calibri" w:hAnsi="Cambria" w:cs="Times New Roman"/>
        </w:rPr>
        <w:t>čestně prohlašuje, že je způsobilým dodavatelem, který:</w:t>
      </w:r>
    </w:p>
    <w:p w:rsidR="00E25DBA" w:rsidRPr="00E25DBA" w:rsidRDefault="00E25DBA" w:rsidP="00E25DBA">
      <w:pPr>
        <w:numPr>
          <w:ilvl w:val="0"/>
          <w:numId w:val="1"/>
        </w:numPr>
        <w:spacing w:before="6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nebyl dle § 74 odst. 1 písm. a) ZZVZ v zemi svého sídla v posledních 5 letech před zahájením zadávacího řízení pravomocně odsouzen pro trestný čin uvedený v příloze č. 3 ZZVZ nebo obdobný trestný čin podle právního řádu země sídla dodavatele; k zahlazeným odsouzením se nepřihlíží. Trestnými činy dle přílohy č. 3 ZZVZ se rozumí: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trestný čin spáchaný ve prospěch organizované zločinecké skupiny nebo trestný čin účasti na organizované zločinecké skupině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trestný čin při obchodování s lidmi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tyto trestné činy proti majetku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podvod,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úvěrový podvod,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dotační podvod,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podílnictví,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podílnictví z nedbalosti,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legalizace výnosů z trestné činnosti,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legalizace výnosů z trestné činnosti z nedbalosti,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tyto trestné činy hospodářské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zneužití informace a postavení v obchodním styku,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sjednání výhody při zadání veřejné zakázky, při veřejné soutěži a veřejné dražbě,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pletichy při zadání veřejné zakázky a při veřejné soutěži,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pletichy při veřejné dražbě,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poškození finančních zájmů Evropské unie,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obecně nebezpečné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proti České republice, cizímu státu a mezinárodní organizaci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tyto trestné činy proti pořádku ve věcech veřejných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proti výkonu pravomoci orgánu veřejné moci a úřední osoby,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úředních osob,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úplatkářství,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jiná porušení činnosti orgánu veřejné moci,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nemá dle § 74 odst. 1 písm. b) ZZVZ v České republice nebo v zemi svého sídla v evidenci daní zachycen splatný daňový nedoplatek, a to i ve vztahu ke spotřební dani.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nemá dle § 74 odst. 1 písm. c) ZZVZ v České republice nebo v zemi svého sídla splatný nedoplatek na pojistném nebo na penále na veřejné zdravotní pojištění.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nemá dle § 74 odst. 1 písm. d) ZZVZ v České republice nebo v zemi svého sídla splatný nedoplatek na pojistném nebo na penále na sociální zabezpečení a příspěvku na státní politiku zaměstnanosti.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není dle § 74 odst. 1 písm. e) ZZVZ v likvidaci, nebylo proti němu vydáno rozhodnutí o úpadku, nebyla vůči němu nařízena nucená správa podle jiného právního předpisu a není ani v obdobné situaci podle právního řádu země svého sídla.</w:t>
      </w:r>
    </w:p>
    <w:p w:rsidR="00E25DBA" w:rsidRPr="00E25DBA" w:rsidRDefault="00E25DBA" w:rsidP="00E25DBA">
      <w:pPr>
        <w:spacing w:before="240" w:after="0" w:line="240" w:lineRule="auto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lastRenderedPageBreak/>
        <w:t>Je-li dodavatelem právnická osoba, musí podmínku dle § 74 odst. 1 písm. a) ZZVZ splňovat tato právnická osoba, zároveň každý člen statutárního orgánu. Je-li členem statutárního orgánu dodavatele právnická osoba, musí podmínku dle § 74 odst. 1 písm. a) ZZVZ splňovat</w:t>
      </w:r>
    </w:p>
    <w:p w:rsidR="00E25DBA" w:rsidRPr="00E25DBA" w:rsidRDefault="00E25DBA" w:rsidP="00E25DBA">
      <w:pPr>
        <w:numPr>
          <w:ilvl w:val="1"/>
          <w:numId w:val="6"/>
        </w:numPr>
        <w:spacing w:before="60" w:after="0" w:line="240" w:lineRule="auto"/>
        <w:ind w:left="425" w:hanging="425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tato právnická osoba,</w:t>
      </w:r>
    </w:p>
    <w:p w:rsidR="00E25DBA" w:rsidRPr="00E25DBA" w:rsidRDefault="00E25DBA" w:rsidP="00E25DBA">
      <w:pPr>
        <w:numPr>
          <w:ilvl w:val="1"/>
          <w:numId w:val="6"/>
        </w:numPr>
        <w:spacing w:before="60" w:after="0" w:line="240" w:lineRule="auto"/>
        <w:ind w:left="425" w:hanging="425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každý člen statutárního orgánu této právnické osoby a</w:t>
      </w:r>
    </w:p>
    <w:p w:rsidR="00E25DBA" w:rsidRPr="00E25DBA" w:rsidRDefault="00E25DBA" w:rsidP="00E25DBA">
      <w:pPr>
        <w:numPr>
          <w:ilvl w:val="1"/>
          <w:numId w:val="6"/>
        </w:numPr>
        <w:spacing w:before="60" w:after="0" w:line="240" w:lineRule="auto"/>
        <w:ind w:left="425" w:hanging="425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 xml:space="preserve">osoba zastupující tuto právnickou osobu v statutárním orgánu dodavatele. </w:t>
      </w:r>
    </w:p>
    <w:p w:rsidR="00E25DBA" w:rsidRPr="00E25DBA" w:rsidRDefault="00E25DBA" w:rsidP="00E25DBA">
      <w:pPr>
        <w:spacing w:before="120" w:after="0" w:line="240" w:lineRule="auto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Účastní-li se zadávacího řízení pobočka závodu</w:t>
      </w:r>
    </w:p>
    <w:p w:rsidR="00E25DBA" w:rsidRPr="00E25DBA" w:rsidRDefault="00E25DBA" w:rsidP="00E25DBA">
      <w:pPr>
        <w:numPr>
          <w:ilvl w:val="0"/>
          <w:numId w:val="7"/>
        </w:numPr>
        <w:spacing w:before="60" w:after="0" w:line="240" w:lineRule="auto"/>
        <w:ind w:left="426" w:hanging="426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zahraniční právnické osoby, musí podmínku dle § 74 odst. 1 písm. a) ZZVZ splňovat tato právnická osoba a vedoucí pobočky závodu,</w:t>
      </w:r>
    </w:p>
    <w:p w:rsidR="00E25DBA" w:rsidRPr="00E25DBA" w:rsidRDefault="00E25DBA" w:rsidP="00E25DBA">
      <w:pPr>
        <w:numPr>
          <w:ilvl w:val="0"/>
          <w:numId w:val="7"/>
        </w:numPr>
        <w:spacing w:before="60" w:after="0" w:line="240" w:lineRule="auto"/>
        <w:ind w:left="426" w:hanging="426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 xml:space="preserve">české právnické osoby, musí podmínku dle § 74 odst. 1 písm. a) ZZVZ splňovat osoby uvedené v § 74 odst. 2 a vedoucí pobočky závodu. </w:t>
      </w: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E25DBA" w:rsidRPr="00E25DBA" w:rsidRDefault="00E25DBA" w:rsidP="00E25DBA">
      <w:pPr>
        <w:spacing w:after="200" w:line="276" w:lineRule="auto"/>
        <w:rPr>
          <w:rFonts w:ascii="Calibri" w:eastAsia="Calibri" w:hAnsi="Calibri" w:cs="Times New Roman"/>
        </w:rPr>
      </w:pPr>
      <w:r w:rsidRPr="00E25DBA">
        <w:rPr>
          <w:rFonts w:ascii="Calibri" w:eastAsia="Calibri" w:hAnsi="Calibri" w:cs="Times New Roman"/>
        </w:rPr>
        <w:t xml:space="preserve">V </w: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E25DBA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E25DBA" w:rsidRPr="00E25DBA" w:rsidRDefault="00E25DBA" w:rsidP="00E25DBA">
      <w:pPr>
        <w:spacing w:after="200" w:line="276" w:lineRule="auto"/>
        <w:rPr>
          <w:rFonts w:ascii="Calibri" w:eastAsia="Calibri" w:hAnsi="Calibri" w:cs="Times New Roman"/>
        </w:rPr>
      </w:pP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</w:p>
    <w:p w:rsidR="00E25DBA" w:rsidRPr="00E25DBA" w:rsidRDefault="00E25DBA" w:rsidP="00E25DBA">
      <w:pPr>
        <w:spacing w:after="200" w:line="276" w:lineRule="auto"/>
        <w:rPr>
          <w:rFonts w:ascii="Calibri" w:eastAsia="Calibri" w:hAnsi="Calibri" w:cs="Times New Roman"/>
        </w:rPr>
      </w:pPr>
    </w:p>
    <w:p w:rsidR="00E25DBA" w:rsidRPr="00E25DBA" w:rsidRDefault="00E25DBA" w:rsidP="00E25DBA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  <w:r w:rsidRPr="00E25DBA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A2C65" wp14:editId="6FA5C0C8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6A68EE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Dp8IKG3wAAAAkBAAAPAAAAAAAAAAAAAAAAAD8EAABkcnMvZG93bnJldi54&#10;bWxQSwUGAAAAAAQABADzAAAASwUAAAAA&#10;">
                <v:stroke dashstyle="dash"/>
              </v:line>
            </w:pict>
          </mc:Fallback>
        </mc:AlternateContent>
      </w:r>
    </w:p>
    <w:p w:rsidR="00E25DBA" w:rsidRPr="00E25DBA" w:rsidRDefault="00E25DBA" w:rsidP="00E25DBA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E25DBA">
        <w:rPr>
          <w:rFonts w:ascii="Cambria" w:eastAsia="Calibri" w:hAnsi="Cambria" w:cs="Times New Roman"/>
          <w:lang w:bidi="en-US"/>
        </w:rPr>
        <w:tab/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E25DBA" w:rsidRPr="00E25DBA" w:rsidRDefault="00E25DBA" w:rsidP="00E25DBA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E25DBA">
        <w:rPr>
          <w:rFonts w:ascii="Cambria" w:eastAsia="Calibri" w:hAnsi="Cambria" w:cs="Times New Roman"/>
          <w:lang w:bidi="en-US"/>
        </w:rPr>
        <w:tab/>
      </w:r>
      <w:r w:rsidRPr="00E25DBA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E25DBA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E25DBA" w:rsidRPr="00E25DBA" w:rsidRDefault="00E25DBA" w:rsidP="00E25DBA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  <w:lang w:bidi="en-US"/>
        </w:rPr>
        <w:tab/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D86C84" w:rsidRDefault="00D86C84"/>
    <w:sectPr w:rsidR="00D86C84" w:rsidSect="00521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51C" w:rsidRDefault="0026051C">
      <w:pPr>
        <w:spacing w:after="0" w:line="240" w:lineRule="auto"/>
      </w:pPr>
      <w:r>
        <w:separator/>
      </w:r>
    </w:p>
  </w:endnote>
  <w:endnote w:type="continuationSeparator" w:id="0">
    <w:p w:rsidR="0026051C" w:rsidRDefault="0026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2605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26051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2605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51C" w:rsidRDefault="0026051C">
      <w:pPr>
        <w:spacing w:after="0" w:line="240" w:lineRule="auto"/>
      </w:pPr>
      <w:r>
        <w:separator/>
      </w:r>
    </w:p>
  </w:footnote>
  <w:footnote w:type="continuationSeparator" w:id="0">
    <w:p w:rsidR="0026051C" w:rsidRDefault="00260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2605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2605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95" w:rsidRPr="00E25DBA" w:rsidRDefault="00E25DBA" w:rsidP="00521195">
    <w:pPr>
      <w:pStyle w:val="Zhlav"/>
      <w:spacing w:before="240"/>
      <w:jc w:val="center"/>
      <w:rPr>
        <w:rFonts w:ascii="Cambria" w:hAnsi="Cambria"/>
      </w:rPr>
    </w:pPr>
    <w:r w:rsidRPr="00E25DBA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5C56A40C" wp14:editId="02E05627">
          <wp:simplePos x="0" y="0"/>
          <wp:positionH relativeFrom="column">
            <wp:posOffset>4543425</wp:posOffset>
          </wp:positionH>
          <wp:positionV relativeFrom="paragraph">
            <wp:posOffset>-161290</wp:posOffset>
          </wp:positionV>
          <wp:extent cx="1381125" cy="497661"/>
          <wp:effectExtent l="0" t="0" r="0" b="0"/>
          <wp:wrapNone/>
          <wp:docPr id="2" name="Obrázek 2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DBA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355B7F5" wp14:editId="3A7F2F23">
          <wp:simplePos x="0" y="0"/>
          <wp:positionH relativeFrom="column">
            <wp:posOffset>402</wp:posOffset>
          </wp:positionH>
          <wp:positionV relativeFrom="paragraph">
            <wp:posOffset>-114935</wp:posOffset>
          </wp:positionV>
          <wp:extent cx="1196742" cy="451153"/>
          <wp:effectExtent l="0" t="0" r="381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DBA">
      <w:rPr>
        <w:rFonts w:ascii="Cambria" w:hAnsi="Cambria"/>
      </w:rPr>
      <w:t>Příloha č. 02</w:t>
    </w:r>
    <w:r w:rsidRPr="00521195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00127C0"/>
    <w:multiLevelType w:val="hybridMultilevel"/>
    <w:tmpl w:val="9CA057CC"/>
    <w:lvl w:ilvl="0" w:tplc="96E09C5E">
      <w:start w:val="1"/>
      <w:numFmt w:val="lowerLetter"/>
      <w:lvlText w:val="%1)"/>
      <w:lvlJc w:val="left"/>
      <w:pPr>
        <w:ind w:left="786" w:hanging="360"/>
      </w:pPr>
      <w:rPr>
        <w:rFonts w:ascii="Cambria" w:hAnsi="Cambria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CFB4240"/>
    <w:multiLevelType w:val="hybridMultilevel"/>
    <w:tmpl w:val="A644E9F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E75725"/>
    <w:multiLevelType w:val="hybridMultilevel"/>
    <w:tmpl w:val="DC842C2E"/>
    <w:lvl w:ilvl="0" w:tplc="6EAAD0E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E340C1"/>
    <w:multiLevelType w:val="hybridMultilevel"/>
    <w:tmpl w:val="F740E4DE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DAE663E6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F6056C0"/>
    <w:multiLevelType w:val="hybridMultilevel"/>
    <w:tmpl w:val="AB0434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C0"/>
    <w:rsid w:val="0026051C"/>
    <w:rsid w:val="00366A5D"/>
    <w:rsid w:val="004111E9"/>
    <w:rsid w:val="00620AEF"/>
    <w:rsid w:val="00AE4564"/>
    <w:rsid w:val="00D75EC0"/>
    <w:rsid w:val="00D86C84"/>
    <w:rsid w:val="00DA71F4"/>
    <w:rsid w:val="00E2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F1EA7"/>
  <w15:chartTrackingRefBased/>
  <w15:docId w15:val="{EA64D9CE-D895-4CB5-9575-3FEF54CD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5DBA"/>
  </w:style>
  <w:style w:type="paragraph" w:styleId="Zpat">
    <w:name w:val="footer"/>
    <w:basedOn w:val="Normln"/>
    <w:link w:val="ZpatChar"/>
    <w:uiPriority w:val="99"/>
    <w:unhideWhenUsed/>
    <w:rsid w:val="00E2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5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8</cp:revision>
  <dcterms:created xsi:type="dcterms:W3CDTF">2017-11-13T09:40:00Z</dcterms:created>
  <dcterms:modified xsi:type="dcterms:W3CDTF">2018-04-05T16:34:00Z</dcterms:modified>
</cp:coreProperties>
</file>