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E5930" w14:textId="1356FD14" w:rsidR="00830DFB" w:rsidRDefault="00C0470F" w:rsidP="00FB4979">
      <w:pPr>
        <w:pStyle w:val="Standard"/>
      </w:pPr>
      <w:proofErr w:type="gramStart"/>
      <w:r>
        <w:rPr>
          <w:rFonts w:ascii="Arial Black" w:hAnsi="Arial Black" w:cs="Arial Black"/>
        </w:rPr>
        <w:t xml:space="preserve">Akce: </w:t>
      </w:r>
      <w:r w:rsidR="000638DE">
        <w:rPr>
          <w:rFonts w:ascii="Arial Black" w:hAnsi="Arial Black" w:cs="Arial Black"/>
        </w:rPr>
        <w:t xml:space="preserve">  </w:t>
      </w:r>
      <w:proofErr w:type="gramEnd"/>
      <w:r w:rsidR="000638DE">
        <w:rPr>
          <w:rFonts w:ascii="Arial Black" w:hAnsi="Arial Black" w:cs="Arial Black"/>
        </w:rPr>
        <w:t xml:space="preserve">   </w:t>
      </w:r>
      <w:r w:rsidR="000638DE">
        <w:rPr>
          <w:rFonts w:ascii="Bookman Old Style" w:hAnsi="Bookman Old Style"/>
        </w:rPr>
        <w:t>Vrtané studny STUD-1 a STUD-2 na p.č.1665 v </w:t>
      </w:r>
      <w:proofErr w:type="spellStart"/>
      <w:r w:rsidR="000638DE">
        <w:rPr>
          <w:rFonts w:ascii="Bookman Old Style" w:hAnsi="Bookman Old Style"/>
        </w:rPr>
        <w:t>k.ú</w:t>
      </w:r>
      <w:proofErr w:type="spellEnd"/>
      <w:r w:rsidR="000638DE">
        <w:rPr>
          <w:rFonts w:ascii="Bookman Old Style" w:hAnsi="Bookman Old Style"/>
        </w:rPr>
        <w:t>. Butovice</w:t>
      </w:r>
      <w:r w:rsidR="00FB4979">
        <w:rPr>
          <w:rFonts w:ascii="Bookman Old Style" w:hAnsi="Bookman Old Style"/>
        </w:rPr>
        <w:t xml:space="preserve"> vrt</w:t>
      </w:r>
      <w:r w:rsidR="000638DE">
        <w:rPr>
          <w:rFonts w:ascii="Bookman Old Style" w:hAnsi="Bookman Old Style"/>
        </w:rPr>
        <w:t>ů</w:t>
      </w:r>
    </w:p>
    <w:p w14:paraId="0323057B" w14:textId="36605A0F" w:rsidR="004E061B" w:rsidRDefault="00C0470F">
      <w:pPr>
        <w:pStyle w:val="Standard"/>
        <w:ind w:left="397"/>
      </w:pPr>
      <w:r>
        <w:rPr>
          <w:rFonts w:ascii="Arial Black" w:hAnsi="Arial Black" w:cs="Arial Black"/>
        </w:rPr>
        <w:t xml:space="preserve">             </w:t>
      </w:r>
    </w:p>
    <w:p w14:paraId="7195EAC4" w14:textId="458A89A2" w:rsidR="004E061B" w:rsidRDefault="00C0470F" w:rsidP="00830DFB">
      <w:pPr>
        <w:pStyle w:val="Standard"/>
      </w:pPr>
      <w:proofErr w:type="gramStart"/>
      <w:r>
        <w:rPr>
          <w:rFonts w:ascii="Arial Black" w:hAnsi="Arial Black" w:cs="Arial Black"/>
        </w:rPr>
        <w:t xml:space="preserve">Objekt: </w:t>
      </w:r>
      <w:r w:rsidR="000638DE">
        <w:rPr>
          <w:rFonts w:ascii="Arial Black" w:hAnsi="Arial Black" w:cs="Arial Black"/>
        </w:rPr>
        <w:t xml:space="preserve">  </w:t>
      </w:r>
      <w:proofErr w:type="gramEnd"/>
      <w:r w:rsidR="000638DE">
        <w:rPr>
          <w:rFonts w:ascii="Arial Black" w:hAnsi="Arial Black" w:cs="Arial Black"/>
        </w:rPr>
        <w:t xml:space="preserve"> </w:t>
      </w:r>
      <w:r w:rsidR="000638DE">
        <w:rPr>
          <w:rFonts w:ascii="Bookman Old Style" w:hAnsi="Bookman Old Style" w:cs="Bookman Old Style"/>
        </w:rPr>
        <w:t xml:space="preserve">El. zapojení </w:t>
      </w:r>
      <w:proofErr w:type="spellStart"/>
      <w:r w:rsidR="000638DE">
        <w:rPr>
          <w:rFonts w:ascii="Bookman Old Style" w:hAnsi="Bookman Old Style" w:cs="Bookman Old Style"/>
        </w:rPr>
        <w:t>čerpadel</w:t>
      </w:r>
      <w:r w:rsidR="00942CDA">
        <w:rPr>
          <w:rFonts w:ascii="Bookman Old Style" w:hAnsi="Bookman Old Style" w:cs="Bookman Old Style"/>
        </w:rPr>
        <w:t>I</w:t>
      </w:r>
      <w:proofErr w:type="spellEnd"/>
    </w:p>
    <w:p w14:paraId="1F5C4C0E" w14:textId="77777777" w:rsidR="004E061B" w:rsidRDefault="00C0470F">
      <w:pPr>
        <w:pStyle w:val="Standard"/>
        <w:ind w:left="1560" w:hanging="1560"/>
        <w:jc w:val="both"/>
      </w:pPr>
      <w:r>
        <w:rPr>
          <w:rFonts w:ascii="Arial Black" w:hAnsi="Arial Black" w:cs="Arial Black"/>
        </w:rPr>
        <w:t xml:space="preserve">      </w:t>
      </w:r>
    </w:p>
    <w:p w14:paraId="32DE8064" w14:textId="453A7FA8" w:rsidR="00830DFB" w:rsidRDefault="00C0470F" w:rsidP="00830DFB">
      <w:pPr>
        <w:pStyle w:val="Standard"/>
        <w:ind w:left="1560" w:hanging="1560"/>
        <w:jc w:val="both"/>
      </w:pPr>
      <w:r>
        <w:rPr>
          <w:rFonts w:ascii="Arial Black" w:hAnsi="Arial Black" w:cs="Arial Black"/>
        </w:rPr>
        <w:t xml:space="preserve">Investor: </w:t>
      </w:r>
      <w:r w:rsidR="00FB4979" w:rsidRPr="00FB4979">
        <w:rPr>
          <w:rFonts w:ascii="Bookman Old Style" w:hAnsi="Bookman Old Style" w:cs="Arial Black"/>
        </w:rPr>
        <w:t>Městský úřad Studénka, nám. Republiky 762, 742 13, Studénka</w:t>
      </w:r>
    </w:p>
    <w:p w14:paraId="629E40CB" w14:textId="580E0A97" w:rsidR="004D7B33" w:rsidRDefault="004D7B33">
      <w:pPr>
        <w:pStyle w:val="Standard"/>
        <w:ind w:left="1560" w:hanging="1560"/>
        <w:jc w:val="both"/>
      </w:pPr>
    </w:p>
    <w:p w14:paraId="1CF044DC" w14:textId="77777777" w:rsidR="004E061B" w:rsidRDefault="004E061B">
      <w:pPr>
        <w:pStyle w:val="Standard"/>
        <w:ind w:left="397"/>
        <w:rPr>
          <w:rFonts w:ascii="Arial Black" w:hAnsi="Arial Black" w:cs="Arial Black"/>
        </w:rPr>
      </w:pPr>
    </w:p>
    <w:p w14:paraId="488E7F2B" w14:textId="77777777" w:rsidR="004E061B" w:rsidRDefault="00C0470F" w:rsidP="00830DFB">
      <w:pPr>
        <w:pStyle w:val="Standard"/>
      </w:pPr>
      <w:r>
        <w:rPr>
          <w:rFonts w:ascii="Arial Black" w:hAnsi="Arial Black" w:cs="Arial Black"/>
        </w:rPr>
        <w:t>Zpracovatel projektu:</w:t>
      </w:r>
      <w:r>
        <w:rPr>
          <w:rFonts w:ascii="Century Schoolbook" w:hAnsi="Century Schoolbook" w:cs="Century Schoolbook"/>
        </w:rPr>
        <w:t xml:space="preserve"> </w:t>
      </w:r>
      <w:r>
        <w:rPr>
          <w:rFonts w:ascii="Bookman Old Style" w:hAnsi="Bookman Old Style" w:cs="Arial Black"/>
        </w:rPr>
        <w:t>Libor Jurák, AT: 1103711</w:t>
      </w:r>
    </w:p>
    <w:p w14:paraId="1DB166E5" w14:textId="77777777" w:rsidR="004E061B" w:rsidRDefault="004E061B">
      <w:pPr>
        <w:pStyle w:val="Standard"/>
        <w:ind w:left="397"/>
        <w:rPr>
          <w:rFonts w:ascii="Bookman Old Style" w:hAnsi="Bookman Old Style" w:cs="Arial Black"/>
        </w:rPr>
      </w:pPr>
    </w:p>
    <w:p w14:paraId="39C5239A" w14:textId="6454E299" w:rsidR="004E061B" w:rsidRDefault="00C0470F" w:rsidP="00830DFB">
      <w:pPr>
        <w:pStyle w:val="Standard"/>
      </w:pPr>
      <w:r>
        <w:rPr>
          <w:rFonts w:ascii="Arial Black" w:hAnsi="Arial Black" w:cs="Arial Black"/>
        </w:rPr>
        <w:t>Zakázka:</w:t>
      </w:r>
      <w:r>
        <w:rPr>
          <w:rFonts w:ascii="Arial" w:hAnsi="Arial" w:cs="Arial Black"/>
        </w:rPr>
        <w:t xml:space="preserve"> </w:t>
      </w:r>
      <w:r w:rsidR="00942CDA">
        <w:rPr>
          <w:rFonts w:ascii="Arial" w:hAnsi="Arial" w:cs="Arial Black"/>
        </w:rPr>
        <w:t>45/23</w:t>
      </w:r>
    </w:p>
    <w:p w14:paraId="5AF39E90" w14:textId="77777777" w:rsidR="004E061B" w:rsidRDefault="004E061B">
      <w:pPr>
        <w:pStyle w:val="Standard"/>
        <w:ind w:left="397"/>
        <w:rPr>
          <w:rFonts w:ascii="Wide Latin" w:hAnsi="Wide Latin" w:cs="Wide Latin"/>
        </w:rPr>
      </w:pPr>
    </w:p>
    <w:p w14:paraId="4F16EF6D" w14:textId="77777777" w:rsidR="004E061B" w:rsidRDefault="004E061B">
      <w:pPr>
        <w:pStyle w:val="Standard"/>
        <w:ind w:left="397"/>
      </w:pPr>
    </w:p>
    <w:p w14:paraId="3DEBFEC4" w14:textId="77777777" w:rsidR="004E061B" w:rsidRDefault="004E061B">
      <w:pPr>
        <w:pStyle w:val="Standard"/>
        <w:ind w:left="397"/>
      </w:pPr>
    </w:p>
    <w:p w14:paraId="21997AB3" w14:textId="77777777" w:rsidR="004E061B" w:rsidRDefault="004E061B">
      <w:pPr>
        <w:pStyle w:val="Standard"/>
        <w:ind w:left="397"/>
      </w:pPr>
    </w:p>
    <w:p w14:paraId="1804E22C" w14:textId="77777777" w:rsidR="004E061B" w:rsidRDefault="00C0470F">
      <w:pPr>
        <w:pStyle w:val="Standard"/>
        <w:tabs>
          <w:tab w:val="left" w:pos="1712"/>
        </w:tabs>
        <w:ind w:left="397"/>
      </w:pPr>
      <w:r>
        <w:tab/>
      </w:r>
    </w:p>
    <w:p w14:paraId="0E656DDB" w14:textId="77777777" w:rsidR="004E061B" w:rsidRDefault="004E061B">
      <w:pPr>
        <w:pStyle w:val="Standard"/>
        <w:ind w:left="397"/>
      </w:pPr>
    </w:p>
    <w:p w14:paraId="6434230D" w14:textId="77777777" w:rsidR="004E061B" w:rsidRDefault="004E061B">
      <w:pPr>
        <w:pStyle w:val="Standard"/>
        <w:ind w:left="397"/>
      </w:pPr>
    </w:p>
    <w:p w14:paraId="3F31A847" w14:textId="77777777" w:rsidR="004E061B" w:rsidRDefault="004E061B">
      <w:pPr>
        <w:pStyle w:val="Standard"/>
        <w:ind w:left="397"/>
      </w:pPr>
    </w:p>
    <w:p w14:paraId="6F117D9D" w14:textId="77777777" w:rsidR="004E061B" w:rsidRDefault="004E061B">
      <w:pPr>
        <w:pStyle w:val="Standard"/>
        <w:ind w:left="397"/>
      </w:pPr>
    </w:p>
    <w:p w14:paraId="0D0CD75D" w14:textId="77777777" w:rsidR="004E061B" w:rsidRDefault="004E061B">
      <w:pPr>
        <w:pStyle w:val="Standard"/>
        <w:ind w:left="397"/>
      </w:pPr>
    </w:p>
    <w:p w14:paraId="40AED0D8" w14:textId="77777777" w:rsidR="004E061B" w:rsidRDefault="004E061B">
      <w:pPr>
        <w:pStyle w:val="Standard"/>
        <w:ind w:left="397"/>
      </w:pPr>
    </w:p>
    <w:p w14:paraId="0D8EC1F1" w14:textId="77777777" w:rsidR="004E061B" w:rsidRDefault="00C0470F">
      <w:pPr>
        <w:pStyle w:val="Standard"/>
        <w:ind w:left="397"/>
        <w:jc w:val="center"/>
      </w:pPr>
      <w:r>
        <w:rPr>
          <w:rFonts w:ascii="Arial Black" w:hAnsi="Arial Black" w:cs="Arial Black"/>
          <w:sz w:val="36"/>
          <w:szCs w:val="36"/>
        </w:rPr>
        <w:t>Technická zpráva</w:t>
      </w:r>
    </w:p>
    <w:p w14:paraId="753DD508" w14:textId="77777777" w:rsidR="009D6255" w:rsidRDefault="009D6255">
      <w:pPr>
        <w:pStyle w:val="Standard"/>
        <w:ind w:left="397"/>
        <w:jc w:val="center"/>
        <w:rPr>
          <w:rFonts w:ascii="Arial" w:hAnsi="Arial" w:cs="Arial"/>
          <w:sz w:val="24"/>
          <w:szCs w:val="24"/>
        </w:rPr>
      </w:pPr>
    </w:p>
    <w:p w14:paraId="3FA725C2" w14:textId="77777777" w:rsidR="00830DFB" w:rsidRDefault="00830DFB" w:rsidP="00830DFB">
      <w:pPr>
        <w:pStyle w:val="Standard"/>
        <w:ind w:left="397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Dokumentace pro</w:t>
      </w:r>
    </w:p>
    <w:p w14:paraId="0A605B4C" w14:textId="6C84A3DD" w:rsidR="00830DFB" w:rsidRDefault="00FB4979" w:rsidP="00830DFB">
      <w:pPr>
        <w:pStyle w:val="Standard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vydání územního </w:t>
      </w:r>
      <w:r w:rsidR="00942CDA">
        <w:rPr>
          <w:rFonts w:ascii="Arial" w:hAnsi="Arial" w:cs="Arial"/>
          <w:sz w:val="32"/>
          <w:szCs w:val="32"/>
        </w:rPr>
        <w:t>rozhodnutí</w:t>
      </w:r>
    </w:p>
    <w:p w14:paraId="0A761DD5" w14:textId="77777777" w:rsidR="004E061B" w:rsidRDefault="004E061B">
      <w:pPr>
        <w:pStyle w:val="Standard"/>
        <w:ind w:left="397"/>
        <w:jc w:val="center"/>
      </w:pPr>
    </w:p>
    <w:p w14:paraId="70633317" w14:textId="77777777" w:rsidR="004E061B" w:rsidRDefault="004E061B">
      <w:pPr>
        <w:pStyle w:val="Standard"/>
        <w:ind w:left="397"/>
        <w:jc w:val="center"/>
        <w:rPr>
          <w:rFonts w:ascii="Arial Black" w:hAnsi="Arial Black" w:cs="Arial Black"/>
        </w:rPr>
      </w:pPr>
    </w:p>
    <w:p w14:paraId="28ABFAD5" w14:textId="77777777" w:rsidR="004E061B" w:rsidRDefault="00C0470F">
      <w:pPr>
        <w:pStyle w:val="Standard"/>
        <w:ind w:left="397"/>
        <w:jc w:val="center"/>
      </w:pPr>
      <w:r>
        <w:rPr>
          <w:rFonts w:ascii="Arial Black" w:hAnsi="Arial Black" w:cs="Arial Black"/>
        </w:rPr>
        <w:t>D 1. 4 – TECHNIKA PROSTŘEDÍ STAVEB</w:t>
      </w:r>
    </w:p>
    <w:p w14:paraId="68C2926C" w14:textId="77777777" w:rsidR="004E061B" w:rsidRDefault="00C0470F">
      <w:pPr>
        <w:pStyle w:val="Standard"/>
        <w:ind w:left="397"/>
        <w:jc w:val="center"/>
      </w:pPr>
      <w:r>
        <w:rPr>
          <w:rFonts w:ascii="Arial Black" w:hAnsi="Arial Black" w:cs="Arial Black"/>
        </w:rPr>
        <w:t>– SILNOPROUDÁ ELEKTROTECHNIKA VČETNĚ OCHRANY PŘED BLESKEM</w:t>
      </w:r>
    </w:p>
    <w:p w14:paraId="0B78194C" w14:textId="77777777" w:rsidR="004E061B" w:rsidRDefault="004E061B">
      <w:pPr>
        <w:pStyle w:val="Standard"/>
        <w:ind w:left="397"/>
        <w:rPr>
          <w:rFonts w:ascii="Arial Black" w:hAnsi="Arial Black" w:cs="Arial Black"/>
        </w:rPr>
      </w:pPr>
    </w:p>
    <w:p w14:paraId="196F26D8" w14:textId="77777777" w:rsidR="004E061B" w:rsidRDefault="004E061B">
      <w:pPr>
        <w:pStyle w:val="Standard"/>
        <w:ind w:left="397"/>
        <w:rPr>
          <w:rFonts w:ascii="Arial Black" w:hAnsi="Arial Black" w:cs="Arial Black"/>
        </w:rPr>
      </w:pPr>
    </w:p>
    <w:p w14:paraId="5831E2B7" w14:textId="77777777" w:rsidR="004E061B" w:rsidRDefault="004E061B">
      <w:pPr>
        <w:pStyle w:val="Standard"/>
        <w:ind w:left="397"/>
        <w:rPr>
          <w:rFonts w:ascii="Arial Black" w:hAnsi="Arial Black" w:cs="Arial Black"/>
        </w:rPr>
      </w:pPr>
    </w:p>
    <w:p w14:paraId="0CD373CE" w14:textId="77777777" w:rsidR="004E061B" w:rsidRDefault="004E061B">
      <w:pPr>
        <w:pStyle w:val="Standard"/>
        <w:ind w:left="397"/>
        <w:rPr>
          <w:rFonts w:ascii="Arial Black" w:hAnsi="Arial Black" w:cs="Arial Black"/>
        </w:rPr>
      </w:pPr>
    </w:p>
    <w:p w14:paraId="270E59D7" w14:textId="77777777" w:rsidR="004E061B" w:rsidRDefault="004E061B">
      <w:pPr>
        <w:pStyle w:val="Standard"/>
        <w:ind w:left="397"/>
        <w:rPr>
          <w:rFonts w:ascii="Arial Black" w:hAnsi="Arial Black" w:cs="Arial Black"/>
        </w:rPr>
      </w:pPr>
    </w:p>
    <w:p w14:paraId="6C9942D4" w14:textId="77777777" w:rsidR="004E061B" w:rsidRDefault="004E061B">
      <w:pPr>
        <w:pStyle w:val="Standard"/>
        <w:ind w:left="397"/>
        <w:rPr>
          <w:rFonts w:ascii="Arial Black" w:hAnsi="Arial Black" w:cs="Arial Black"/>
        </w:rPr>
      </w:pPr>
    </w:p>
    <w:p w14:paraId="4EA5A1EC" w14:textId="77777777" w:rsidR="004E061B" w:rsidRDefault="004E061B">
      <w:pPr>
        <w:pStyle w:val="Standard"/>
        <w:ind w:left="397"/>
        <w:rPr>
          <w:rFonts w:ascii="Arial Black" w:hAnsi="Arial Black" w:cs="Arial Black"/>
        </w:rPr>
      </w:pPr>
    </w:p>
    <w:p w14:paraId="4341AB95" w14:textId="77777777" w:rsidR="004E061B" w:rsidRDefault="004E061B">
      <w:pPr>
        <w:pStyle w:val="Standard"/>
        <w:ind w:left="397"/>
        <w:rPr>
          <w:rFonts w:ascii="Arial Black" w:hAnsi="Arial Black" w:cs="Arial Black"/>
        </w:rPr>
      </w:pPr>
    </w:p>
    <w:p w14:paraId="49604C98" w14:textId="77777777" w:rsidR="004E061B" w:rsidRDefault="004E061B">
      <w:pPr>
        <w:pStyle w:val="Standard"/>
        <w:ind w:left="397"/>
        <w:rPr>
          <w:rFonts w:ascii="Arial Black" w:hAnsi="Arial Black" w:cs="Arial Black"/>
        </w:rPr>
      </w:pPr>
    </w:p>
    <w:p w14:paraId="0E67386A" w14:textId="77777777" w:rsidR="004E061B" w:rsidRDefault="004E061B">
      <w:pPr>
        <w:pStyle w:val="Standard"/>
        <w:ind w:left="397"/>
        <w:rPr>
          <w:rFonts w:ascii="Arial Black" w:hAnsi="Arial Black" w:cs="Arial Black"/>
        </w:rPr>
      </w:pPr>
    </w:p>
    <w:p w14:paraId="28EC0224" w14:textId="77777777" w:rsidR="004E061B" w:rsidRDefault="004E061B">
      <w:pPr>
        <w:pStyle w:val="Standard"/>
        <w:ind w:left="397"/>
        <w:rPr>
          <w:rFonts w:ascii="Arial Black" w:hAnsi="Arial Black" w:cs="Arial Black"/>
        </w:rPr>
      </w:pPr>
    </w:p>
    <w:p w14:paraId="011AEB6F" w14:textId="77777777" w:rsidR="004E061B" w:rsidRDefault="004E061B">
      <w:pPr>
        <w:pStyle w:val="Standard"/>
        <w:ind w:left="397"/>
        <w:rPr>
          <w:rFonts w:ascii="Arial Black" w:hAnsi="Arial Black" w:cs="Arial Black"/>
        </w:rPr>
      </w:pPr>
    </w:p>
    <w:p w14:paraId="00C6B853" w14:textId="77777777" w:rsidR="004E061B" w:rsidRDefault="004E061B">
      <w:pPr>
        <w:pStyle w:val="Standard"/>
        <w:ind w:left="397"/>
        <w:rPr>
          <w:rFonts w:ascii="Arial Black" w:hAnsi="Arial Black" w:cs="Arial Black"/>
        </w:rPr>
      </w:pPr>
    </w:p>
    <w:p w14:paraId="629A0811" w14:textId="77777777" w:rsidR="004E061B" w:rsidRDefault="004E061B">
      <w:pPr>
        <w:pStyle w:val="Standard"/>
        <w:ind w:left="397"/>
        <w:rPr>
          <w:rFonts w:ascii="Arial Black" w:hAnsi="Arial Black" w:cs="Arial Black"/>
        </w:rPr>
      </w:pPr>
    </w:p>
    <w:p w14:paraId="4A345731" w14:textId="77777777" w:rsidR="004E061B" w:rsidRDefault="004E061B">
      <w:pPr>
        <w:pStyle w:val="Standard"/>
        <w:ind w:left="397"/>
        <w:rPr>
          <w:rFonts w:ascii="Arial Black" w:hAnsi="Arial Black" w:cs="Arial Black"/>
        </w:rPr>
      </w:pPr>
    </w:p>
    <w:p w14:paraId="5501CA51" w14:textId="77777777" w:rsidR="004E061B" w:rsidRDefault="004E061B">
      <w:pPr>
        <w:pStyle w:val="Standard"/>
        <w:rPr>
          <w:rFonts w:ascii="Arial Black" w:hAnsi="Arial Black" w:cs="Arial Black"/>
        </w:rPr>
      </w:pPr>
    </w:p>
    <w:p w14:paraId="40BB6542" w14:textId="77777777" w:rsidR="004E061B" w:rsidRDefault="004E061B">
      <w:pPr>
        <w:pStyle w:val="Standard"/>
        <w:ind w:left="397"/>
        <w:rPr>
          <w:rFonts w:ascii="Arial Black" w:hAnsi="Arial Black" w:cs="Arial Black"/>
        </w:rPr>
      </w:pPr>
    </w:p>
    <w:p w14:paraId="70287B07" w14:textId="77777777" w:rsidR="004E061B" w:rsidRDefault="00C0470F">
      <w:pPr>
        <w:pStyle w:val="Standard"/>
      </w:pPr>
      <w:r>
        <w:rPr>
          <w:rFonts w:ascii="Arial Black" w:hAnsi="Arial Black" w:cs="Arial Black"/>
        </w:rPr>
        <w:t xml:space="preserve">      </w:t>
      </w:r>
      <w:proofErr w:type="gramStart"/>
      <w:r>
        <w:rPr>
          <w:rFonts w:ascii="Arial Black" w:hAnsi="Arial Black" w:cs="Arial Black"/>
        </w:rPr>
        <w:t xml:space="preserve">OBSAH:  </w:t>
      </w:r>
      <w:r>
        <w:rPr>
          <w:rFonts w:ascii="Arial" w:hAnsi="Arial" w:cs="Arial"/>
        </w:rPr>
        <w:t>1.</w:t>
      </w:r>
      <w:proofErr w:type="gramEnd"/>
      <w:r>
        <w:rPr>
          <w:rFonts w:ascii="Arial" w:hAnsi="Arial" w:cs="Arial"/>
        </w:rPr>
        <w:t xml:space="preserve"> Charakteristika zařízení a základní údaje</w:t>
      </w:r>
    </w:p>
    <w:p w14:paraId="5C04A484" w14:textId="77777777" w:rsidR="004E061B" w:rsidRDefault="00C0470F">
      <w:pPr>
        <w:pStyle w:val="Standard"/>
        <w:ind w:left="708"/>
      </w:pPr>
      <w:r>
        <w:rPr>
          <w:rFonts w:ascii="Arial" w:hAnsi="Arial" w:cs="Arial"/>
        </w:rPr>
        <w:t xml:space="preserve">            2. Technické řešení</w:t>
      </w:r>
    </w:p>
    <w:p w14:paraId="3928483A" w14:textId="77777777" w:rsidR="004E061B" w:rsidRDefault="00C0470F">
      <w:pPr>
        <w:pStyle w:val="Standard"/>
        <w:ind w:left="709"/>
      </w:pPr>
      <w:r>
        <w:rPr>
          <w:sz w:val="22"/>
          <w:szCs w:val="22"/>
        </w:rPr>
        <w:t xml:space="preserve">           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</w:rPr>
        <w:t>3. Závěr, bezpečnost práce a ochrana zdraví</w:t>
      </w:r>
    </w:p>
    <w:p w14:paraId="59679E9A" w14:textId="77777777" w:rsidR="004E061B" w:rsidRDefault="00C0470F">
      <w:pPr>
        <w:pStyle w:val="Standard"/>
      </w:pPr>
      <w:r>
        <w:rPr>
          <w:rFonts w:ascii="Arial" w:hAnsi="Arial" w:cs="Arial"/>
        </w:rPr>
        <w:t xml:space="preserve">                         </w:t>
      </w:r>
    </w:p>
    <w:p w14:paraId="773C695C" w14:textId="77777777" w:rsidR="004E061B" w:rsidRDefault="004E061B">
      <w:pPr>
        <w:pStyle w:val="Standard"/>
        <w:rPr>
          <w:rFonts w:ascii="Bookman Old Style" w:hAnsi="Bookman Old Style" w:cs="Bookman Old Style"/>
          <w:b/>
          <w:bCs/>
          <w:sz w:val="24"/>
          <w:szCs w:val="24"/>
        </w:rPr>
      </w:pPr>
    </w:p>
    <w:p w14:paraId="63A2F272" w14:textId="77777777" w:rsidR="004E061B" w:rsidRDefault="004E061B">
      <w:pPr>
        <w:pStyle w:val="Standard"/>
        <w:rPr>
          <w:b/>
          <w:bCs/>
          <w:sz w:val="24"/>
          <w:szCs w:val="24"/>
        </w:rPr>
      </w:pPr>
    </w:p>
    <w:p w14:paraId="7C5AE0A9" w14:textId="77777777" w:rsidR="004E061B" w:rsidRDefault="004E061B">
      <w:pPr>
        <w:pStyle w:val="Standard"/>
        <w:rPr>
          <w:b/>
          <w:bCs/>
          <w:sz w:val="24"/>
          <w:szCs w:val="24"/>
        </w:rPr>
      </w:pPr>
    </w:p>
    <w:p w14:paraId="4569B2FF" w14:textId="77777777" w:rsidR="004E061B" w:rsidRDefault="00C0470F">
      <w:pPr>
        <w:pStyle w:val="Standard"/>
      </w:pPr>
      <w:r>
        <w:rPr>
          <w:b/>
          <w:bCs/>
          <w:sz w:val="24"/>
          <w:szCs w:val="24"/>
        </w:rPr>
        <w:t xml:space="preserve">1.  </w:t>
      </w:r>
      <w:r>
        <w:rPr>
          <w:b/>
          <w:bCs/>
          <w:sz w:val="24"/>
          <w:szCs w:val="24"/>
          <w:u w:val="single"/>
        </w:rPr>
        <w:t>Charakteristika zařízení a základní údaje</w:t>
      </w:r>
    </w:p>
    <w:p w14:paraId="0304C75E" w14:textId="77777777" w:rsidR="004E061B" w:rsidRDefault="004E061B">
      <w:pPr>
        <w:pStyle w:val="Standard"/>
        <w:rPr>
          <w:b/>
          <w:bCs/>
        </w:rPr>
      </w:pPr>
    </w:p>
    <w:p w14:paraId="696115BF" w14:textId="77777777" w:rsidR="004E061B" w:rsidRDefault="004E061B">
      <w:pPr>
        <w:pStyle w:val="Standard"/>
        <w:rPr>
          <w:b/>
          <w:bCs/>
          <w:u w:val="single"/>
        </w:rPr>
      </w:pPr>
    </w:p>
    <w:p w14:paraId="4C8C2DDC" w14:textId="77777777" w:rsidR="004E061B" w:rsidRDefault="00C0470F">
      <w:pPr>
        <w:pStyle w:val="Standard"/>
        <w:numPr>
          <w:ilvl w:val="1"/>
          <w:numId w:val="8"/>
        </w:numPr>
      </w:pPr>
      <w:r>
        <w:t xml:space="preserve">  </w:t>
      </w:r>
      <w:r>
        <w:rPr>
          <w:u w:val="single"/>
        </w:rPr>
        <w:t>Rozsah projektu</w:t>
      </w:r>
    </w:p>
    <w:p w14:paraId="38C829DD" w14:textId="77777777" w:rsidR="004E061B" w:rsidRDefault="00C0470F">
      <w:pPr>
        <w:pStyle w:val="Standard"/>
      </w:pPr>
      <w:r>
        <w:t xml:space="preserve">      </w:t>
      </w:r>
    </w:p>
    <w:p w14:paraId="71FACE10" w14:textId="4F1B058C" w:rsidR="004E061B" w:rsidRDefault="00C0470F">
      <w:pPr>
        <w:pStyle w:val="Zkladntextodsazen2"/>
        <w:ind w:left="426" w:hanging="426"/>
      </w:pPr>
      <w:r>
        <w:rPr>
          <w:rFonts w:ascii="Times New Roman" w:hAnsi="Times New Roman" w:cs="Times New Roman"/>
        </w:rPr>
        <w:t xml:space="preserve">                Projekt řeší silnoproudou elektroinstalaci </w:t>
      </w:r>
      <w:r w:rsidR="00FB4979">
        <w:rPr>
          <w:rFonts w:ascii="Times New Roman" w:hAnsi="Times New Roman" w:cs="Times New Roman"/>
        </w:rPr>
        <w:t>pro napojení vrtu, ve kterém bude umístěno ponorné čerpadlo</w:t>
      </w:r>
      <w:r w:rsidR="006F18B9">
        <w:rPr>
          <w:rFonts w:ascii="Times New Roman" w:hAnsi="Times New Roman" w:cs="Times New Roman"/>
        </w:rPr>
        <w:t xml:space="preserve"> </w:t>
      </w:r>
      <w:proofErr w:type="spellStart"/>
      <w:r w:rsidR="00942CDA">
        <w:rPr>
          <w:rFonts w:ascii="Times New Roman" w:hAnsi="Times New Roman" w:cs="Times New Roman"/>
        </w:rPr>
        <w:t>Gardena</w:t>
      </w:r>
      <w:proofErr w:type="spellEnd"/>
      <w:r w:rsidR="00942CDA">
        <w:rPr>
          <w:rFonts w:ascii="Times New Roman" w:hAnsi="Times New Roman" w:cs="Times New Roman"/>
        </w:rPr>
        <w:t xml:space="preserve"> </w:t>
      </w:r>
      <w:proofErr w:type="gramStart"/>
      <w:r w:rsidR="00942CDA">
        <w:rPr>
          <w:rFonts w:ascii="Times New Roman" w:hAnsi="Times New Roman" w:cs="Times New Roman"/>
        </w:rPr>
        <w:t>230V</w:t>
      </w:r>
      <w:proofErr w:type="gramEnd"/>
      <w:r w:rsidR="00FB4979">
        <w:rPr>
          <w:rFonts w:ascii="Times New Roman" w:hAnsi="Times New Roman" w:cs="Times New Roman"/>
        </w:rPr>
        <w:t xml:space="preserve">. </w:t>
      </w:r>
    </w:p>
    <w:p w14:paraId="3DC0204B" w14:textId="46EC6ACA" w:rsidR="004E061B" w:rsidRDefault="00C0470F">
      <w:pPr>
        <w:pStyle w:val="Standard"/>
        <w:ind w:left="426" w:hanging="426"/>
        <w:jc w:val="both"/>
      </w:pPr>
      <w:r>
        <w:t xml:space="preserve">                 Projekt je zpracován v rozsahu pro </w:t>
      </w:r>
      <w:r w:rsidR="00FB4979">
        <w:t xml:space="preserve">vydání územního </w:t>
      </w:r>
      <w:r w:rsidR="00942CDA">
        <w:t>rozhodnutí</w:t>
      </w:r>
      <w:r w:rsidR="00616397">
        <w:t xml:space="preserve"> stavby</w:t>
      </w:r>
      <w:r>
        <w:t xml:space="preserve"> na základě požadavků známých v době zpracování projektové dokumentace a podle zadání investora.</w:t>
      </w:r>
    </w:p>
    <w:p w14:paraId="0EA3A70E" w14:textId="77777777" w:rsidR="004E061B" w:rsidRDefault="004E061B">
      <w:pPr>
        <w:pStyle w:val="Standard"/>
        <w:ind w:left="426" w:hanging="426"/>
        <w:jc w:val="both"/>
      </w:pPr>
    </w:p>
    <w:p w14:paraId="374C7457" w14:textId="77777777" w:rsidR="004E061B" w:rsidRDefault="00C0470F">
      <w:pPr>
        <w:pStyle w:val="Standard"/>
        <w:numPr>
          <w:ilvl w:val="1"/>
          <w:numId w:val="8"/>
        </w:numPr>
        <w:jc w:val="both"/>
      </w:pPr>
      <w:r>
        <w:t xml:space="preserve">  </w:t>
      </w:r>
      <w:r>
        <w:rPr>
          <w:u w:val="single"/>
        </w:rPr>
        <w:t>Projekční podklady</w:t>
      </w:r>
    </w:p>
    <w:p w14:paraId="0B18068D" w14:textId="77777777" w:rsidR="004E061B" w:rsidRDefault="004E061B">
      <w:pPr>
        <w:pStyle w:val="Standard"/>
        <w:rPr>
          <w:u w:val="single"/>
        </w:rPr>
      </w:pPr>
    </w:p>
    <w:p w14:paraId="33BFF3A4" w14:textId="77777777" w:rsidR="004E061B" w:rsidRDefault="00C0470F">
      <w:pPr>
        <w:pStyle w:val="Standard"/>
        <w:numPr>
          <w:ilvl w:val="0"/>
          <w:numId w:val="9"/>
        </w:numPr>
        <w:ind w:hanging="76"/>
      </w:pPr>
      <w:r>
        <w:t>Stavební výkresy;</w:t>
      </w:r>
    </w:p>
    <w:p w14:paraId="65F298B1" w14:textId="77777777" w:rsidR="004E061B" w:rsidRDefault="00C0470F">
      <w:pPr>
        <w:pStyle w:val="Standard"/>
        <w:numPr>
          <w:ilvl w:val="0"/>
          <w:numId w:val="2"/>
        </w:numPr>
        <w:ind w:hanging="76"/>
      </w:pPr>
      <w:r>
        <w:t>ČSN a katalogy výrobců;</w:t>
      </w:r>
    </w:p>
    <w:p w14:paraId="26D8AE65" w14:textId="77777777" w:rsidR="004E061B" w:rsidRDefault="00C0470F">
      <w:pPr>
        <w:pStyle w:val="Standard"/>
        <w:numPr>
          <w:ilvl w:val="0"/>
          <w:numId w:val="2"/>
        </w:numPr>
        <w:ind w:hanging="76"/>
      </w:pPr>
      <w:r>
        <w:t>Konzultace s projektantem stavební části.</w:t>
      </w:r>
    </w:p>
    <w:p w14:paraId="61A72857" w14:textId="77777777" w:rsidR="004E061B" w:rsidRDefault="004E061B">
      <w:pPr>
        <w:pStyle w:val="Standard"/>
        <w:ind w:hanging="76"/>
        <w:rPr>
          <w:u w:val="single"/>
        </w:rPr>
      </w:pPr>
    </w:p>
    <w:p w14:paraId="64C36EAA" w14:textId="77777777" w:rsidR="004E061B" w:rsidRDefault="004E061B">
      <w:pPr>
        <w:pStyle w:val="Standard"/>
        <w:ind w:hanging="76"/>
        <w:rPr>
          <w:u w:val="single"/>
        </w:rPr>
      </w:pPr>
    </w:p>
    <w:p w14:paraId="38796087" w14:textId="77777777" w:rsidR="004E061B" w:rsidRDefault="00C0470F">
      <w:pPr>
        <w:pStyle w:val="Standard"/>
        <w:numPr>
          <w:ilvl w:val="1"/>
          <w:numId w:val="8"/>
        </w:numPr>
      </w:pPr>
      <w:r>
        <w:t xml:space="preserve">  </w:t>
      </w:r>
      <w:r>
        <w:rPr>
          <w:u w:val="single"/>
        </w:rPr>
        <w:t>Platnost projektu</w:t>
      </w:r>
    </w:p>
    <w:p w14:paraId="2378DCAF" w14:textId="77777777" w:rsidR="004E061B" w:rsidRDefault="004E061B">
      <w:pPr>
        <w:pStyle w:val="Standard"/>
        <w:rPr>
          <w:u w:val="single"/>
        </w:rPr>
      </w:pPr>
    </w:p>
    <w:p w14:paraId="6EB6DD8B" w14:textId="77777777" w:rsidR="004E061B" w:rsidRDefault="00C0470F">
      <w:pPr>
        <w:pStyle w:val="Standard"/>
        <w:ind w:left="426" w:hanging="426"/>
        <w:jc w:val="both"/>
      </w:pPr>
      <w:r>
        <w:t xml:space="preserve">         S ohledem na vývoj předpisů, norem a výrobků je platnost tohoto projektu 2 roky.</w:t>
      </w:r>
    </w:p>
    <w:p w14:paraId="785E11A2" w14:textId="77777777" w:rsidR="004E061B" w:rsidRDefault="004E061B">
      <w:pPr>
        <w:pStyle w:val="Standard"/>
        <w:rPr>
          <w:u w:val="single"/>
        </w:rPr>
      </w:pPr>
    </w:p>
    <w:p w14:paraId="4BD762AC" w14:textId="77777777" w:rsidR="004E061B" w:rsidRDefault="00C0470F">
      <w:pPr>
        <w:pStyle w:val="Standard"/>
        <w:numPr>
          <w:ilvl w:val="1"/>
          <w:numId w:val="8"/>
        </w:numPr>
      </w:pPr>
      <w:r>
        <w:t xml:space="preserve">  </w:t>
      </w:r>
      <w:r>
        <w:rPr>
          <w:u w:val="single"/>
        </w:rPr>
        <w:t>Základní technické údaje</w:t>
      </w:r>
    </w:p>
    <w:p w14:paraId="20F12CD7" w14:textId="77777777" w:rsidR="004E061B" w:rsidRDefault="004E061B">
      <w:pPr>
        <w:pStyle w:val="Standard"/>
      </w:pPr>
    </w:p>
    <w:p w14:paraId="5F51EB1A" w14:textId="77777777" w:rsidR="004E061B" w:rsidRDefault="00C0470F">
      <w:pPr>
        <w:pStyle w:val="Standard"/>
      </w:pPr>
      <w:r>
        <w:t xml:space="preserve">        </w:t>
      </w:r>
      <w:r>
        <w:rPr>
          <w:u w:val="single"/>
        </w:rPr>
        <w:t>Napěťová soustava</w:t>
      </w:r>
      <w:r>
        <w:t xml:space="preserve">:  </w:t>
      </w:r>
    </w:p>
    <w:p w14:paraId="64B52AB8" w14:textId="77777777" w:rsidR="004E061B" w:rsidRDefault="00C0470F">
      <w:pPr>
        <w:pStyle w:val="Standard"/>
        <w:numPr>
          <w:ilvl w:val="0"/>
          <w:numId w:val="10"/>
        </w:numPr>
      </w:pPr>
      <w:r>
        <w:t>Napájení: 3/N/PE AC 400/</w:t>
      </w:r>
      <w:proofErr w:type="gramStart"/>
      <w:r>
        <w:t>230V</w:t>
      </w:r>
      <w:proofErr w:type="gramEnd"/>
      <w:r>
        <w:t xml:space="preserve"> 50Hz TN-C</w:t>
      </w:r>
    </w:p>
    <w:p w14:paraId="1534D2BA" w14:textId="77777777" w:rsidR="004E061B" w:rsidRDefault="00C0470F">
      <w:pPr>
        <w:pStyle w:val="Standard"/>
        <w:numPr>
          <w:ilvl w:val="0"/>
          <w:numId w:val="11"/>
        </w:numPr>
      </w:pPr>
      <w:r>
        <w:t>Domovní rozvody: 3 /N/PE AC 400/</w:t>
      </w:r>
      <w:proofErr w:type="gramStart"/>
      <w:r>
        <w:t>230V</w:t>
      </w:r>
      <w:proofErr w:type="gramEnd"/>
      <w:r>
        <w:t xml:space="preserve"> 50Hz TN-S</w:t>
      </w:r>
    </w:p>
    <w:p w14:paraId="2684E30B" w14:textId="77777777" w:rsidR="004E061B" w:rsidRDefault="004E061B">
      <w:pPr>
        <w:pStyle w:val="Standard"/>
      </w:pPr>
    </w:p>
    <w:p w14:paraId="5306DCAF" w14:textId="77777777" w:rsidR="004E061B" w:rsidRDefault="00C0470F">
      <w:pPr>
        <w:pStyle w:val="Standard"/>
      </w:pPr>
      <w:r>
        <w:t xml:space="preserve">        </w:t>
      </w:r>
      <w:r>
        <w:rPr>
          <w:u w:val="single"/>
        </w:rPr>
        <w:t xml:space="preserve">Ochrana před úrazem elektrickým proudem dle ČSN 33 2000-4-41 </w:t>
      </w:r>
      <w:proofErr w:type="spellStart"/>
      <w:r>
        <w:rPr>
          <w:u w:val="single"/>
        </w:rPr>
        <w:t>ed</w:t>
      </w:r>
      <w:proofErr w:type="spellEnd"/>
      <w:r>
        <w:rPr>
          <w:u w:val="single"/>
        </w:rPr>
        <w:t>. 3:</w:t>
      </w:r>
    </w:p>
    <w:p w14:paraId="494D0E8C" w14:textId="77777777" w:rsidR="004E061B" w:rsidRDefault="00C0470F">
      <w:pPr>
        <w:pStyle w:val="Standard"/>
      </w:pPr>
      <w:r>
        <w:t xml:space="preserve">        </w:t>
      </w:r>
    </w:p>
    <w:p w14:paraId="2C33FD0F" w14:textId="77777777" w:rsidR="004E061B" w:rsidRDefault="00C0470F">
      <w:pPr>
        <w:pStyle w:val="Standard"/>
      </w:pPr>
      <w:r>
        <w:t xml:space="preserve">         411 – Ochranné opatření: automatické odpojení od zdroje</w:t>
      </w:r>
    </w:p>
    <w:p w14:paraId="617FE703" w14:textId="77777777" w:rsidR="004E061B" w:rsidRDefault="00C0470F">
      <w:pPr>
        <w:pStyle w:val="Standard"/>
      </w:pPr>
      <w:r>
        <w:t xml:space="preserve">         </w:t>
      </w:r>
    </w:p>
    <w:p w14:paraId="02CE51A2" w14:textId="157A858C" w:rsidR="004E061B" w:rsidRDefault="00C0470F">
      <w:pPr>
        <w:pStyle w:val="Standard"/>
      </w:pPr>
      <w:r>
        <w:t xml:space="preserve">        - základní: </w:t>
      </w:r>
      <w:r>
        <w:rPr>
          <w:i/>
          <w:iCs/>
        </w:rPr>
        <w:t>Základní izolací živých částí, přepážkami a kryty.</w:t>
      </w:r>
    </w:p>
    <w:p w14:paraId="401E6AC6" w14:textId="186201E3" w:rsidR="004E061B" w:rsidRDefault="00C0470F">
      <w:pPr>
        <w:pStyle w:val="Standard"/>
      </w:pPr>
      <w:r>
        <w:t xml:space="preserve">        - ochrana při poruše: </w:t>
      </w:r>
      <w:r>
        <w:rPr>
          <w:i/>
          <w:iCs/>
        </w:rPr>
        <w:t>Ochranným pospojováním a automatickým odpojením v případě poruchy.</w:t>
      </w:r>
    </w:p>
    <w:p w14:paraId="69F30D3D" w14:textId="77777777" w:rsidR="004E061B" w:rsidRDefault="00C0470F">
      <w:pPr>
        <w:pStyle w:val="Zpat1"/>
        <w:tabs>
          <w:tab w:val="clear" w:pos="4536"/>
          <w:tab w:val="clear" w:pos="9072"/>
        </w:tabs>
      </w:pPr>
      <w:r>
        <w:t xml:space="preserve">        </w:t>
      </w:r>
    </w:p>
    <w:p w14:paraId="2C4FCFCD" w14:textId="77777777" w:rsidR="004E061B" w:rsidRDefault="00C0470F">
      <w:pPr>
        <w:pStyle w:val="Standard"/>
      </w:pPr>
      <w:r>
        <w:t xml:space="preserve">        415 – Doplňková ochrana:</w:t>
      </w:r>
    </w:p>
    <w:p w14:paraId="0CE3C1DE" w14:textId="77777777" w:rsidR="004E061B" w:rsidRDefault="004E061B">
      <w:pPr>
        <w:pStyle w:val="Standard"/>
      </w:pPr>
    </w:p>
    <w:p w14:paraId="189125B0" w14:textId="77777777" w:rsidR="004E061B" w:rsidRDefault="00C0470F">
      <w:pPr>
        <w:pStyle w:val="Standard"/>
      </w:pPr>
      <w:r>
        <w:t xml:space="preserve">        - </w:t>
      </w:r>
      <w:r>
        <w:rPr>
          <w:i/>
          <w:iCs/>
        </w:rPr>
        <w:t>Použitím proudových chráničů s vybavovacím reziduálním proudem 30 mA;</w:t>
      </w:r>
    </w:p>
    <w:p w14:paraId="135F81B8" w14:textId="77777777" w:rsidR="004E061B" w:rsidRDefault="00C0470F">
      <w:pPr>
        <w:pStyle w:val="Standard"/>
      </w:pPr>
      <w:r>
        <w:t xml:space="preserve">        - </w:t>
      </w:r>
      <w:r>
        <w:rPr>
          <w:i/>
          <w:iCs/>
        </w:rPr>
        <w:t>Doplňujícím ochranným pospojováním.</w:t>
      </w:r>
    </w:p>
    <w:p w14:paraId="52002CD6" w14:textId="77777777" w:rsidR="004E061B" w:rsidRDefault="004E061B">
      <w:pPr>
        <w:pStyle w:val="Standard"/>
      </w:pPr>
    </w:p>
    <w:p w14:paraId="6BC4E209" w14:textId="77777777" w:rsidR="004E061B" w:rsidRDefault="00C0470F">
      <w:pPr>
        <w:pStyle w:val="Standard"/>
      </w:pPr>
      <w:r>
        <w:t xml:space="preserve">        </w:t>
      </w:r>
      <w:r>
        <w:rPr>
          <w:u w:val="single"/>
        </w:rPr>
        <w:t xml:space="preserve">Ochrana před atmosférickým a síťovým přepětím dle čl. 131.6 ČSN 33 </w:t>
      </w:r>
      <w:proofErr w:type="gramStart"/>
      <w:r>
        <w:rPr>
          <w:u w:val="single"/>
        </w:rPr>
        <w:t>2000-1ed</w:t>
      </w:r>
      <w:proofErr w:type="gramEnd"/>
      <w:r>
        <w:rPr>
          <w:u w:val="single"/>
        </w:rPr>
        <w:t>.2</w:t>
      </w:r>
      <w:r>
        <w:rPr>
          <w:i/>
          <w:iCs/>
          <w:u w:val="single"/>
        </w:rPr>
        <w:t>:</w:t>
      </w:r>
      <w:r>
        <w:rPr>
          <w:i/>
          <w:iCs/>
        </w:rPr>
        <w:t xml:space="preserve">      </w:t>
      </w:r>
    </w:p>
    <w:p w14:paraId="7B205A5E" w14:textId="77777777" w:rsidR="004E061B" w:rsidRDefault="00C0470F">
      <w:pPr>
        <w:pStyle w:val="Standard"/>
        <w:ind w:left="426" w:hanging="426"/>
        <w:jc w:val="both"/>
      </w:pPr>
      <w:r>
        <w:rPr>
          <w:i/>
          <w:iCs/>
        </w:rPr>
        <w:t xml:space="preserve">         Ochrana proti atmosférickým nebo spínacím přepětím přepětí je navržena</w:t>
      </w:r>
      <w:r>
        <w:t xml:space="preserve"> podle ČSN EN </w:t>
      </w:r>
      <w:proofErr w:type="gramStart"/>
      <w:r>
        <w:t>60664 -1</w:t>
      </w:r>
      <w:proofErr w:type="gramEnd"/>
      <w:r>
        <w:t xml:space="preserve"> (33 0420) a ČSN EN 33 2000-4-443 ed.2 pro zařízení kategorie přepětí III až I.</w:t>
      </w:r>
    </w:p>
    <w:p w14:paraId="2337C5F5" w14:textId="77777777" w:rsidR="004E061B" w:rsidRDefault="00C0470F">
      <w:pPr>
        <w:pStyle w:val="Standard"/>
      </w:pPr>
      <w:r>
        <w:t xml:space="preserve">  </w:t>
      </w:r>
    </w:p>
    <w:p w14:paraId="2DB1FA95" w14:textId="50FE33F8" w:rsidR="004E061B" w:rsidRDefault="00C0470F">
      <w:pPr>
        <w:pStyle w:val="Standard"/>
      </w:pPr>
      <w:r>
        <w:t xml:space="preserve">        </w:t>
      </w:r>
      <w:r>
        <w:rPr>
          <w:u w:val="single"/>
        </w:rPr>
        <w:t xml:space="preserve">Povolený instalovaný </w:t>
      </w:r>
      <w:proofErr w:type="gramStart"/>
      <w:r>
        <w:rPr>
          <w:u w:val="single"/>
        </w:rPr>
        <w:t>výkon</w:t>
      </w:r>
      <w:r>
        <w:t xml:space="preserve">:  </w:t>
      </w:r>
      <w:proofErr w:type="spellStart"/>
      <w:r>
        <w:t>Pi</w:t>
      </w:r>
      <w:proofErr w:type="spellEnd"/>
      <w:proofErr w:type="gramEnd"/>
      <w:r>
        <w:t xml:space="preserve">  </w:t>
      </w:r>
      <w:r>
        <w:rPr>
          <w:rFonts w:ascii="Symbol" w:hAnsi="Symbol"/>
        </w:rPr>
        <w:t></w:t>
      </w:r>
      <w:r>
        <w:t xml:space="preserve">  </w:t>
      </w:r>
      <w:r w:rsidR="00FB4979">
        <w:t>0,75</w:t>
      </w:r>
      <w:r>
        <w:t xml:space="preserve"> </w:t>
      </w:r>
      <w:proofErr w:type="spellStart"/>
      <w:r>
        <w:t>kVA</w:t>
      </w:r>
      <w:proofErr w:type="spellEnd"/>
    </w:p>
    <w:p w14:paraId="1FE6F0E9" w14:textId="77777777" w:rsidR="004E061B" w:rsidRDefault="00C0470F">
      <w:pPr>
        <w:pStyle w:val="Standard"/>
      </w:pPr>
      <w:r>
        <w:t xml:space="preserve">         </w:t>
      </w:r>
    </w:p>
    <w:p w14:paraId="79B4D8C2" w14:textId="166EC78E" w:rsidR="004E061B" w:rsidRDefault="00C0470F">
      <w:pPr>
        <w:pStyle w:val="Standard"/>
      </w:pPr>
      <w:r>
        <w:t xml:space="preserve">         </w:t>
      </w:r>
      <w:r>
        <w:rPr>
          <w:u w:val="single"/>
        </w:rPr>
        <w:t xml:space="preserve">Hlavní jistič před </w:t>
      </w:r>
      <w:r w:rsidR="00FB4979">
        <w:rPr>
          <w:u w:val="single"/>
        </w:rPr>
        <w:t xml:space="preserve">odpočtovým </w:t>
      </w:r>
      <w:r>
        <w:rPr>
          <w:u w:val="single"/>
        </w:rPr>
        <w:t>elektroměrem</w:t>
      </w:r>
      <w:r>
        <w:t xml:space="preserve">: </w:t>
      </w:r>
      <w:r w:rsidR="00FB4979">
        <w:t xml:space="preserve">B </w:t>
      </w:r>
      <w:proofErr w:type="gramStart"/>
      <w:r w:rsidR="00FB4979">
        <w:t>20A</w:t>
      </w:r>
      <w:proofErr w:type="gramEnd"/>
      <w:r w:rsidR="00FB4979">
        <w:t>/1</w:t>
      </w:r>
    </w:p>
    <w:p w14:paraId="29EC7A92" w14:textId="77777777" w:rsidR="004E061B" w:rsidRDefault="004E061B">
      <w:pPr>
        <w:pStyle w:val="Standard"/>
        <w:jc w:val="both"/>
      </w:pPr>
    </w:p>
    <w:p w14:paraId="702702AF" w14:textId="77777777" w:rsidR="004E061B" w:rsidRDefault="00C0470F">
      <w:pPr>
        <w:pStyle w:val="Standard"/>
        <w:ind w:left="426" w:hanging="426"/>
      </w:pPr>
      <w:r>
        <w:t xml:space="preserve">        </w:t>
      </w:r>
      <w:r>
        <w:rPr>
          <w:u w:val="single"/>
        </w:rPr>
        <w:t>Kategorie dodávky elektrické energie</w:t>
      </w:r>
      <w:r>
        <w:t>: 3. Stupeň – při výpadku sítě nebude dodávka zajištěna zvláštními opatřeními.</w:t>
      </w:r>
    </w:p>
    <w:p w14:paraId="239EF700" w14:textId="77777777" w:rsidR="004E061B" w:rsidRDefault="004E061B">
      <w:pPr>
        <w:pStyle w:val="Standard"/>
        <w:jc w:val="both"/>
      </w:pPr>
    </w:p>
    <w:p w14:paraId="2476858E" w14:textId="77777777" w:rsidR="004E061B" w:rsidRDefault="00C0470F">
      <w:pPr>
        <w:pStyle w:val="Standard"/>
        <w:jc w:val="both"/>
      </w:pPr>
      <w:r>
        <w:t xml:space="preserve">         </w:t>
      </w:r>
      <w:r>
        <w:rPr>
          <w:u w:val="single"/>
        </w:rPr>
        <w:t>Vnější vlivy:</w:t>
      </w:r>
      <w:r>
        <w:t xml:space="preserve"> Protokol o určení vnějších vlivů řeší prováděcí dokumentace.</w:t>
      </w:r>
    </w:p>
    <w:p w14:paraId="71EE6828" w14:textId="77777777" w:rsidR="004E061B" w:rsidRDefault="004E061B">
      <w:pPr>
        <w:pStyle w:val="Standard"/>
        <w:jc w:val="both"/>
      </w:pPr>
    </w:p>
    <w:p w14:paraId="2EAF67C9" w14:textId="48C11FA5" w:rsidR="004E061B" w:rsidRDefault="00C0470F" w:rsidP="00FB4979">
      <w:pPr>
        <w:pStyle w:val="Standard"/>
        <w:jc w:val="both"/>
      </w:pPr>
      <w:r>
        <w:t xml:space="preserve"> </w:t>
      </w:r>
      <w:r w:rsidR="00254974">
        <w:t>1</w:t>
      </w:r>
      <w:r>
        <w:t>.</w:t>
      </w:r>
      <w:r w:rsidR="00FB4979">
        <w:t>5</w:t>
      </w:r>
      <w:r>
        <w:t xml:space="preserve">.   </w:t>
      </w:r>
      <w:r>
        <w:rPr>
          <w:u w:val="single"/>
        </w:rPr>
        <w:t>Předpisy a normy ČSN</w:t>
      </w:r>
    </w:p>
    <w:p w14:paraId="1A2D472A" w14:textId="28CC95AE" w:rsidR="004E061B" w:rsidRDefault="00C0470F">
      <w:pPr>
        <w:pStyle w:val="Standard"/>
        <w:ind w:left="567"/>
        <w:jc w:val="both"/>
      </w:pPr>
      <w:r>
        <w:t xml:space="preserve">     Pro vypracování projektu bylo použito norem ČSN, zejména ČSN 33 1310 ed.2, 33 2000-1 ed.2, 33 2000-4-41 ed.3, 33 2000-4-43 ed.2, 33 2000-5-51 ed.3, 33 2000-5-52</w:t>
      </w:r>
      <w:r w:rsidR="00A07A66">
        <w:t xml:space="preserve"> </w:t>
      </w:r>
      <w:r>
        <w:t>ed.2, 33 2000-5-54 ed.3, 33 2000-7-701 ed.2/Z1, 33 2130 ed.3, 33 2312 ed.2, 33 3210/Z1, ČSN EN 61439-3 (35 7107), ČSN EN 62305-3</w:t>
      </w:r>
      <w:r w:rsidR="00A07A66">
        <w:t xml:space="preserve"> </w:t>
      </w:r>
      <w:r>
        <w:t>ed.3 (34 1390) a souvisících.</w:t>
      </w:r>
    </w:p>
    <w:p w14:paraId="560FD220" w14:textId="33E7D85B" w:rsidR="004E061B" w:rsidRDefault="004E061B">
      <w:pPr>
        <w:pStyle w:val="Standard"/>
        <w:jc w:val="both"/>
        <w:rPr>
          <w:b/>
          <w:bCs/>
          <w:sz w:val="24"/>
          <w:szCs w:val="24"/>
        </w:rPr>
      </w:pPr>
    </w:p>
    <w:p w14:paraId="6063E59C" w14:textId="736C879B" w:rsidR="00FB4979" w:rsidRDefault="00FB4979">
      <w:pPr>
        <w:pStyle w:val="Standard"/>
        <w:jc w:val="both"/>
        <w:rPr>
          <w:b/>
          <w:bCs/>
          <w:sz w:val="24"/>
          <w:szCs w:val="24"/>
        </w:rPr>
      </w:pPr>
    </w:p>
    <w:p w14:paraId="259B41C4" w14:textId="5036CACD" w:rsidR="00FB4979" w:rsidRDefault="00FB4979">
      <w:pPr>
        <w:pStyle w:val="Standard"/>
        <w:jc w:val="both"/>
        <w:rPr>
          <w:b/>
          <w:bCs/>
          <w:sz w:val="24"/>
          <w:szCs w:val="24"/>
        </w:rPr>
      </w:pPr>
    </w:p>
    <w:p w14:paraId="610F0911" w14:textId="77777777" w:rsidR="00FB4979" w:rsidRDefault="00FB4979">
      <w:pPr>
        <w:pStyle w:val="Standard"/>
        <w:jc w:val="both"/>
        <w:rPr>
          <w:b/>
          <w:bCs/>
          <w:sz w:val="24"/>
          <w:szCs w:val="24"/>
        </w:rPr>
      </w:pPr>
    </w:p>
    <w:p w14:paraId="37FCF47C" w14:textId="77777777" w:rsidR="004E061B" w:rsidRDefault="004E061B">
      <w:pPr>
        <w:pStyle w:val="Standard"/>
        <w:jc w:val="both"/>
        <w:rPr>
          <w:b/>
          <w:bCs/>
          <w:sz w:val="24"/>
          <w:szCs w:val="24"/>
        </w:rPr>
      </w:pPr>
    </w:p>
    <w:p w14:paraId="7E3C113C" w14:textId="77777777" w:rsidR="004E061B" w:rsidRDefault="00C0470F">
      <w:pPr>
        <w:pStyle w:val="Standard"/>
        <w:jc w:val="both"/>
      </w:pPr>
      <w:r>
        <w:rPr>
          <w:b/>
          <w:bCs/>
          <w:sz w:val="24"/>
          <w:szCs w:val="24"/>
        </w:rPr>
        <w:t xml:space="preserve">2.     </w:t>
      </w:r>
      <w:r>
        <w:rPr>
          <w:b/>
          <w:bCs/>
          <w:sz w:val="24"/>
          <w:szCs w:val="24"/>
          <w:u w:val="single"/>
        </w:rPr>
        <w:t>Technické řešení</w:t>
      </w:r>
    </w:p>
    <w:p w14:paraId="616E22FB" w14:textId="77777777" w:rsidR="004E061B" w:rsidRDefault="004E061B">
      <w:pPr>
        <w:pStyle w:val="Standard"/>
        <w:ind w:left="567"/>
        <w:jc w:val="both"/>
        <w:rPr>
          <w:u w:val="single"/>
        </w:rPr>
      </w:pPr>
    </w:p>
    <w:p w14:paraId="5940DE82" w14:textId="77777777" w:rsidR="004E061B" w:rsidRDefault="00C0470F">
      <w:pPr>
        <w:pStyle w:val="Standard"/>
        <w:numPr>
          <w:ilvl w:val="0"/>
          <w:numId w:val="12"/>
        </w:numPr>
        <w:ind w:left="567" w:hanging="567"/>
        <w:jc w:val="both"/>
      </w:pPr>
      <w:r>
        <w:rPr>
          <w:u w:val="single"/>
        </w:rPr>
        <w:t>Připojovací bod</w:t>
      </w:r>
    </w:p>
    <w:p w14:paraId="28A50D93" w14:textId="7974799B" w:rsidR="004E061B" w:rsidRDefault="00C0470F">
      <w:pPr>
        <w:pStyle w:val="Standard"/>
        <w:ind w:left="567"/>
        <w:jc w:val="both"/>
      </w:pPr>
      <w:r>
        <w:t xml:space="preserve">       Připojení </w:t>
      </w:r>
      <w:r w:rsidR="00FB4979">
        <w:t xml:space="preserve">studny </w:t>
      </w:r>
      <w:r>
        <w:t>se provede z</w:t>
      </w:r>
      <w:r w:rsidR="00FB4979">
        <w:t>e</w:t>
      </w:r>
      <w:r>
        <w:t> </w:t>
      </w:r>
      <w:r w:rsidR="00FB4979">
        <w:t xml:space="preserve">stávajícího rozvaděče umístěného v I. PP Mateřské školy. Do tohoto rozvaděče se umístí 1f jistič B </w:t>
      </w:r>
      <w:proofErr w:type="gramStart"/>
      <w:r w:rsidR="00FB4979">
        <w:t>20A</w:t>
      </w:r>
      <w:proofErr w:type="gramEnd"/>
      <w:r w:rsidR="00FB4979">
        <w:t xml:space="preserve">/1 a odpočtový elektroměr. </w:t>
      </w:r>
      <w:r>
        <w:t xml:space="preserve"> </w:t>
      </w:r>
      <w:r w:rsidR="00FB4979">
        <w:t xml:space="preserve">Vedení povede ve školce ve vkládacích lištách na omítce a ve venkovním prostředí v zemi v ochranné trubce. </w:t>
      </w:r>
      <w:r>
        <w:t xml:space="preserve"> </w:t>
      </w:r>
      <w:r w:rsidR="00FB4979">
        <w:t>Vedení bude ukončeno v rozvodné skříni vrtu studny</w:t>
      </w:r>
      <w:r w:rsidR="00942CDA">
        <w:t xml:space="preserve"> RS a z této rozvodnice povede kabelem do rozváděče RS2, ve kterém bude ovládání pro čerpadlo a proudový chránič.</w:t>
      </w:r>
    </w:p>
    <w:p w14:paraId="5F068CE7" w14:textId="77777777" w:rsidR="004E061B" w:rsidRDefault="004E061B">
      <w:pPr>
        <w:pStyle w:val="Standard"/>
        <w:jc w:val="both"/>
      </w:pPr>
    </w:p>
    <w:p w14:paraId="19586538" w14:textId="77777777" w:rsidR="004E061B" w:rsidRDefault="00C0470F">
      <w:pPr>
        <w:pStyle w:val="Standard"/>
        <w:jc w:val="both"/>
      </w:pPr>
      <w:r>
        <w:t xml:space="preserve">2.2.   </w:t>
      </w:r>
      <w:r>
        <w:rPr>
          <w:u w:val="single"/>
        </w:rPr>
        <w:t>Silnoproudá elektroinstalace</w:t>
      </w:r>
    </w:p>
    <w:p w14:paraId="6CCD82CC" w14:textId="77777777" w:rsidR="004E061B" w:rsidRDefault="004E061B">
      <w:pPr>
        <w:pStyle w:val="Standard"/>
        <w:jc w:val="both"/>
      </w:pPr>
    </w:p>
    <w:p w14:paraId="231FB0BD" w14:textId="0E007E81" w:rsidR="004E061B" w:rsidRDefault="00C0470F">
      <w:pPr>
        <w:pStyle w:val="Standard"/>
        <w:ind w:left="567" w:hanging="567"/>
        <w:jc w:val="both"/>
      </w:pPr>
      <w:r>
        <w:t>2.2.</w:t>
      </w:r>
      <w:r w:rsidR="00FB4979">
        <w:t>1</w:t>
      </w:r>
      <w:r>
        <w:t>.</w:t>
      </w:r>
      <w:r>
        <w:rPr>
          <w:u w:val="single"/>
        </w:rPr>
        <w:t xml:space="preserve"> Měření elektrické energie</w:t>
      </w:r>
    </w:p>
    <w:p w14:paraId="11CC1A68" w14:textId="1CACA4A7" w:rsidR="004E061B" w:rsidRDefault="00C0470F">
      <w:pPr>
        <w:pStyle w:val="Standard"/>
        <w:ind w:left="567" w:hanging="567"/>
        <w:jc w:val="both"/>
      </w:pPr>
      <w:r>
        <w:t xml:space="preserve">                 Měření elektrické energie bude umístěno v</w:t>
      </w:r>
      <w:r w:rsidR="00FB4979">
        <w:t> </w:t>
      </w:r>
      <w:r>
        <w:t>rozváděči</w:t>
      </w:r>
      <w:r w:rsidR="00FB4979">
        <w:t xml:space="preserve"> RK – odpočtový elektroměr</w:t>
      </w:r>
      <w:r>
        <w:t>.</w:t>
      </w:r>
    </w:p>
    <w:p w14:paraId="5E1DAFCB" w14:textId="77777777" w:rsidR="004E061B" w:rsidRDefault="00C0470F">
      <w:pPr>
        <w:pStyle w:val="Standard"/>
        <w:ind w:left="567" w:hanging="567"/>
        <w:jc w:val="both"/>
      </w:pPr>
      <w:r>
        <w:t xml:space="preserve">                   </w:t>
      </w:r>
    </w:p>
    <w:p w14:paraId="13343E6F" w14:textId="789DFDC8" w:rsidR="004E061B" w:rsidRDefault="00C0470F" w:rsidP="00FB4979">
      <w:pPr>
        <w:pStyle w:val="Standard"/>
        <w:jc w:val="both"/>
      </w:pPr>
      <w:r>
        <w:t>2.2.</w:t>
      </w:r>
      <w:r w:rsidR="006F18B9">
        <w:t>2</w:t>
      </w:r>
      <w:r>
        <w:t>.</w:t>
      </w:r>
      <w:r>
        <w:rPr>
          <w:u w:val="single"/>
        </w:rPr>
        <w:t xml:space="preserve"> Vnitřní</w:t>
      </w:r>
      <w:r w:rsidR="00FB4979">
        <w:rPr>
          <w:u w:val="single"/>
        </w:rPr>
        <w:t xml:space="preserve"> a venkovní</w:t>
      </w:r>
      <w:r>
        <w:rPr>
          <w:u w:val="single"/>
        </w:rPr>
        <w:t xml:space="preserve"> silové rozvody</w:t>
      </w:r>
    </w:p>
    <w:p w14:paraId="564BF08E" w14:textId="486F41BD" w:rsidR="004E061B" w:rsidRDefault="00C0470F">
      <w:pPr>
        <w:pStyle w:val="Textbody"/>
        <w:ind w:left="567" w:hanging="142"/>
      </w:pPr>
      <w:r>
        <w:rPr>
          <w:rFonts w:ascii="Times New Roman" w:hAnsi="Times New Roman" w:cs="Times New Roman"/>
        </w:rPr>
        <w:t xml:space="preserve">    Pro instalaci jsou navrženy silové kabely pro pevné uložení CYKY uložené </w:t>
      </w:r>
      <w:r w:rsidR="00FB4979">
        <w:rPr>
          <w:rFonts w:ascii="Times New Roman" w:hAnsi="Times New Roman" w:cs="Times New Roman"/>
        </w:rPr>
        <w:t>v ochranných lištách a trubkách na omítce a v zemi</w:t>
      </w:r>
      <w:r>
        <w:rPr>
          <w:rFonts w:ascii="Times New Roman" w:hAnsi="Times New Roman" w:cs="Times New Roman"/>
        </w:rPr>
        <w:t xml:space="preserve">. </w:t>
      </w:r>
      <w:r w:rsidR="006F18B9">
        <w:rPr>
          <w:rFonts w:ascii="Times New Roman" w:hAnsi="Times New Roman" w:cs="Times New Roman"/>
        </w:rPr>
        <w:t>Ponorné čerpadlo typ SKM 100</w:t>
      </w:r>
      <w:r w:rsidR="00942CDA">
        <w:rPr>
          <w:rFonts w:ascii="Times New Roman" w:hAnsi="Times New Roman" w:cs="Times New Roman"/>
        </w:rPr>
        <w:t xml:space="preserve"> a čerpadlo č. 2 </w:t>
      </w:r>
      <w:proofErr w:type="spellStart"/>
      <w:r w:rsidR="00942CDA">
        <w:rPr>
          <w:rFonts w:ascii="Times New Roman" w:hAnsi="Times New Roman" w:cs="Times New Roman"/>
        </w:rPr>
        <w:t>Gardena</w:t>
      </w:r>
      <w:proofErr w:type="spellEnd"/>
      <w:r w:rsidR="006F18B9">
        <w:rPr>
          <w:rFonts w:ascii="Times New Roman" w:hAnsi="Times New Roman" w:cs="Times New Roman"/>
        </w:rPr>
        <w:t xml:space="preserve"> bud</w:t>
      </w:r>
      <w:r w:rsidR="00942CDA">
        <w:rPr>
          <w:rFonts w:ascii="Times New Roman" w:hAnsi="Times New Roman" w:cs="Times New Roman"/>
        </w:rPr>
        <w:t>ou</w:t>
      </w:r>
      <w:r w:rsidR="006F18B9">
        <w:rPr>
          <w:rFonts w:ascii="Times New Roman" w:hAnsi="Times New Roman" w:cs="Times New Roman"/>
        </w:rPr>
        <w:t xml:space="preserve"> napojen</w:t>
      </w:r>
      <w:r w:rsidR="00942CDA">
        <w:rPr>
          <w:rFonts w:ascii="Times New Roman" w:hAnsi="Times New Roman" w:cs="Times New Roman"/>
        </w:rPr>
        <w:t>a</w:t>
      </w:r>
      <w:r w:rsidR="006F18B9">
        <w:rPr>
          <w:rFonts w:ascii="Times New Roman" w:hAnsi="Times New Roman" w:cs="Times New Roman"/>
        </w:rPr>
        <w:t xml:space="preserve"> přes zásuvku </w:t>
      </w:r>
      <w:proofErr w:type="gramStart"/>
      <w:r w:rsidR="006F18B9">
        <w:rPr>
          <w:rFonts w:ascii="Times New Roman" w:hAnsi="Times New Roman" w:cs="Times New Roman"/>
        </w:rPr>
        <w:t>230V</w:t>
      </w:r>
      <w:proofErr w:type="gramEnd"/>
      <w:r w:rsidR="006F18B9">
        <w:rPr>
          <w:rFonts w:ascii="Times New Roman" w:hAnsi="Times New Roman" w:cs="Times New Roman"/>
        </w:rPr>
        <w:t>, kter</w:t>
      </w:r>
      <w:r w:rsidR="00942CDA">
        <w:rPr>
          <w:rFonts w:ascii="Times New Roman" w:hAnsi="Times New Roman" w:cs="Times New Roman"/>
        </w:rPr>
        <w:t>é</w:t>
      </w:r>
      <w:r w:rsidR="006F18B9">
        <w:rPr>
          <w:rFonts w:ascii="Times New Roman" w:hAnsi="Times New Roman" w:cs="Times New Roman"/>
        </w:rPr>
        <w:t xml:space="preserve"> bud</w:t>
      </w:r>
      <w:r w:rsidR="00942CDA">
        <w:rPr>
          <w:rFonts w:ascii="Times New Roman" w:hAnsi="Times New Roman" w:cs="Times New Roman"/>
        </w:rPr>
        <w:t>ou</w:t>
      </w:r>
      <w:r w:rsidR="006F18B9">
        <w:rPr>
          <w:rFonts w:ascii="Times New Roman" w:hAnsi="Times New Roman" w:cs="Times New Roman"/>
        </w:rPr>
        <w:t xml:space="preserve"> jištěn</w:t>
      </w:r>
      <w:r w:rsidR="00942CDA">
        <w:rPr>
          <w:rFonts w:ascii="Times New Roman" w:hAnsi="Times New Roman" w:cs="Times New Roman"/>
        </w:rPr>
        <w:t>y</w:t>
      </w:r>
      <w:r w:rsidR="006F18B9">
        <w:rPr>
          <w:rFonts w:ascii="Times New Roman" w:hAnsi="Times New Roman" w:cs="Times New Roman"/>
        </w:rPr>
        <w:t xml:space="preserve"> proudovým chráničem. </w:t>
      </w:r>
    </w:p>
    <w:p w14:paraId="5DDB4545" w14:textId="29FF11E4" w:rsidR="004E061B" w:rsidRDefault="00C0470F" w:rsidP="00FB4979">
      <w:pPr>
        <w:pStyle w:val="Standard"/>
        <w:ind w:left="567" w:hanging="567"/>
        <w:jc w:val="both"/>
      </w:pPr>
      <w:r>
        <w:t xml:space="preserve">                   </w:t>
      </w:r>
    </w:p>
    <w:p w14:paraId="4924875D" w14:textId="75CD6253" w:rsidR="004E061B" w:rsidRDefault="00C0470F">
      <w:pPr>
        <w:pStyle w:val="Standard"/>
        <w:jc w:val="both"/>
      </w:pPr>
      <w:r>
        <w:t>2.</w:t>
      </w:r>
      <w:r w:rsidR="006F18B9">
        <w:t>3</w:t>
      </w:r>
      <w:r>
        <w:t xml:space="preserve">.    </w:t>
      </w:r>
      <w:r>
        <w:rPr>
          <w:u w:val="single"/>
        </w:rPr>
        <w:t>Zemní práce</w:t>
      </w:r>
    </w:p>
    <w:p w14:paraId="1969DA52" w14:textId="34D85639" w:rsidR="004E061B" w:rsidRDefault="00C0470F">
      <w:pPr>
        <w:pStyle w:val="Standard"/>
        <w:ind w:left="567" w:hanging="567"/>
        <w:jc w:val="both"/>
      </w:pPr>
      <w:r>
        <w:t xml:space="preserve">                   Zemní práce budou prováděny ručně.  Sestávají z výkopu rýhy pro kabelová vedení přívodu z rozváděče </w:t>
      </w:r>
      <w:r w:rsidR="006F18B9">
        <w:t xml:space="preserve">kotelny </w:t>
      </w:r>
      <w:r>
        <w:t xml:space="preserve">do </w:t>
      </w:r>
      <w:r w:rsidR="006F18B9">
        <w:t>rozvaděče studny</w:t>
      </w:r>
      <w:r>
        <w:t xml:space="preserve">. Před započetím výkopových prací je investor spolu s generálním dodavatelem povinen </w:t>
      </w:r>
      <w:r>
        <w:rPr>
          <w:b/>
          <w:bCs/>
        </w:rPr>
        <w:t>zajistit vytýčení již existujících inženýrských sítí v uvažovaném prostoru</w:t>
      </w:r>
      <w:r>
        <w:t xml:space="preserve"> a provést o tom zápis do stavebního deníku. </w:t>
      </w:r>
      <w:r>
        <w:rPr>
          <w:b/>
          <w:bCs/>
          <w:i/>
          <w:iCs/>
        </w:rPr>
        <w:t>Bez tohoto opatření nelze zemní práce zahájit</w:t>
      </w:r>
      <w:r>
        <w:rPr>
          <w:b/>
          <w:bCs/>
        </w:rPr>
        <w:t>.</w:t>
      </w:r>
      <w:r>
        <w:t xml:space="preserve"> Při kladení vedení je třeba dodržet požadavky ČSN 73 6005 Z2 pro souběhy a křížení jednotlivých vedení.</w:t>
      </w:r>
    </w:p>
    <w:p w14:paraId="0CE945F9" w14:textId="77777777" w:rsidR="004E061B" w:rsidRDefault="004E061B">
      <w:pPr>
        <w:pStyle w:val="Standard"/>
        <w:ind w:left="567" w:hanging="567"/>
        <w:jc w:val="both"/>
      </w:pPr>
    </w:p>
    <w:p w14:paraId="50E354B0" w14:textId="32372CD6" w:rsidR="004E061B" w:rsidRDefault="00C0470F">
      <w:pPr>
        <w:pStyle w:val="Standard"/>
        <w:jc w:val="both"/>
      </w:pPr>
      <w:r>
        <w:t xml:space="preserve">   2</w:t>
      </w:r>
      <w:r w:rsidR="006F18B9">
        <w:t>.4.</w:t>
      </w:r>
      <w:r>
        <w:t xml:space="preserve">   </w:t>
      </w:r>
      <w:r>
        <w:rPr>
          <w:u w:val="single"/>
        </w:rPr>
        <w:t>Nakládání s odpady</w:t>
      </w:r>
    </w:p>
    <w:p w14:paraId="3C34B5AF" w14:textId="77777777" w:rsidR="004E061B" w:rsidRDefault="00C0470F">
      <w:pPr>
        <w:pStyle w:val="Standard"/>
        <w:ind w:left="567"/>
        <w:jc w:val="both"/>
      </w:pPr>
      <w:r>
        <w:t xml:space="preserve">      Zhotovitel stavebního díla (montážních prací) musí řešit likvidaci odpadů ve smyslu ustanovení zákona 185/2001 Sb., zákon o odpadech. Odpadový materiál z montáží bude likvidován podle “Programu odpadového hospodářství” zhotovitele.</w:t>
      </w:r>
    </w:p>
    <w:p w14:paraId="4D2ADAEE" w14:textId="35CF7EFC" w:rsidR="004E061B" w:rsidRDefault="004E061B">
      <w:pPr>
        <w:pStyle w:val="Standard"/>
        <w:jc w:val="both"/>
      </w:pPr>
    </w:p>
    <w:p w14:paraId="76530CF6" w14:textId="77777777" w:rsidR="00254974" w:rsidRDefault="00254974">
      <w:pPr>
        <w:pStyle w:val="Standard"/>
        <w:jc w:val="both"/>
      </w:pPr>
    </w:p>
    <w:p w14:paraId="001DCCEF" w14:textId="77777777" w:rsidR="004E061B" w:rsidRDefault="00C0470F">
      <w:pPr>
        <w:pStyle w:val="Standard"/>
        <w:ind w:left="142"/>
        <w:jc w:val="both"/>
      </w:pPr>
      <w:r>
        <w:rPr>
          <w:b/>
          <w:bCs/>
          <w:sz w:val="24"/>
          <w:szCs w:val="24"/>
        </w:rPr>
        <w:t xml:space="preserve">3. </w:t>
      </w:r>
      <w:r>
        <w:rPr>
          <w:b/>
          <w:bCs/>
          <w:sz w:val="24"/>
          <w:szCs w:val="24"/>
          <w:u w:val="single"/>
        </w:rPr>
        <w:t xml:space="preserve"> Závěr, bezpečnost práce a ochrana zdraví</w:t>
      </w:r>
    </w:p>
    <w:p w14:paraId="124B9297" w14:textId="77777777" w:rsidR="004E061B" w:rsidRDefault="004E061B">
      <w:pPr>
        <w:pStyle w:val="Standard"/>
        <w:jc w:val="both"/>
      </w:pPr>
    </w:p>
    <w:p w14:paraId="7843734F" w14:textId="77777777" w:rsidR="004E061B" w:rsidRDefault="00C0470F">
      <w:pPr>
        <w:pStyle w:val="Standard"/>
        <w:ind w:left="426"/>
        <w:jc w:val="both"/>
      </w:pPr>
      <w:r>
        <w:t xml:space="preserve">       Bezpečnost práce a ochrana zdraví při práci bude zajištěna dodavatelem (zhotovitelem) montážních prací v rámci novelizovaného zákoníku práce.</w:t>
      </w:r>
    </w:p>
    <w:p w14:paraId="4EAB9EB5" w14:textId="77777777" w:rsidR="004E061B" w:rsidRDefault="00C0470F">
      <w:pPr>
        <w:pStyle w:val="Standard"/>
        <w:ind w:left="426" w:hanging="426"/>
        <w:jc w:val="both"/>
      </w:pPr>
      <w:r>
        <w:t xml:space="preserve">                 Při vlastních montážních pracích je dodavatel (zhotovitel) povinen dbát jednotlivých ustanovení vyhlášky č. 48/1982 Sb. ČÚBP o základních požadavcích k zajištění bezpečnosti práce a technických zařízení, vyhlášky č. 324/1990 Sb. ČÚBP a ČBÚ o bezpečnosti práce a technických zařízení při stavebních pracích včetně požadavků nařízení vlády č. 378/2001 Sb. kterým se stanoví bližší  požadavky na bezpečnost práce a používání strojů, technických zařízení, přístrojů a nářadí jakož i dalších bezpečnostních předpisů - ČSN EN 50110-1 ed.3:2015 (ČSN 34 3100), a souvisících.</w:t>
      </w:r>
    </w:p>
    <w:p w14:paraId="28F45F4C" w14:textId="546F97AB" w:rsidR="004E061B" w:rsidRDefault="00C0470F">
      <w:pPr>
        <w:pStyle w:val="Textbody"/>
        <w:ind w:left="426" w:hanging="426"/>
      </w:pPr>
      <w:r>
        <w:rPr>
          <w:rFonts w:ascii="Times New Roman" w:hAnsi="Times New Roman" w:cs="Times New Roman"/>
        </w:rPr>
        <w:t xml:space="preserve">         Montáže smějí provádět pracovníci s odbornou kvalifikací podle vyhlášky Č. 50/78 Sb. ČÚBP §5a6).</w:t>
      </w:r>
    </w:p>
    <w:p w14:paraId="41F89C68" w14:textId="77777777" w:rsidR="004E061B" w:rsidRDefault="00C0470F">
      <w:pPr>
        <w:pStyle w:val="Standard"/>
        <w:jc w:val="both"/>
      </w:pPr>
      <w:r>
        <w:rPr>
          <w:b/>
          <w:bCs/>
        </w:rPr>
        <w:t xml:space="preserve">       </w:t>
      </w:r>
      <w:r>
        <w:rPr>
          <w:b/>
          <w:bCs/>
          <w:u w:val="single"/>
        </w:rPr>
        <w:t>Elektrické zařízení mohou obsluhovat:</w:t>
      </w:r>
    </w:p>
    <w:p w14:paraId="79952BA7" w14:textId="77777777" w:rsidR="004E061B" w:rsidRDefault="00C0470F">
      <w:pPr>
        <w:pStyle w:val="Standard"/>
        <w:jc w:val="both"/>
      </w:pPr>
      <w:r>
        <w:t xml:space="preserve">       - </w:t>
      </w:r>
      <w:proofErr w:type="gramStart"/>
      <w:r>
        <w:rPr>
          <w:b/>
          <w:bCs/>
          <w:i/>
          <w:iCs/>
        </w:rPr>
        <w:t xml:space="preserve">laici - </w:t>
      </w:r>
      <w:r>
        <w:t>v</w:t>
      </w:r>
      <w:proofErr w:type="gramEnd"/>
      <w:r>
        <w:t> rozsahu ustanovení čl. 3.1 ČSN 33 1310, to znamená, že mohou:</w:t>
      </w:r>
    </w:p>
    <w:p w14:paraId="6AB898C1" w14:textId="77777777" w:rsidR="004E061B" w:rsidRDefault="00C0470F">
      <w:pPr>
        <w:pStyle w:val="Standard"/>
        <w:jc w:val="both"/>
      </w:pPr>
      <w:r>
        <w:t xml:space="preserve">       -vypínat a zapínat elektrické zařízení,</w:t>
      </w:r>
    </w:p>
    <w:p w14:paraId="46C92451" w14:textId="77777777" w:rsidR="004E061B" w:rsidRDefault="00C0470F">
      <w:pPr>
        <w:pStyle w:val="Standard"/>
        <w:jc w:val="both"/>
      </w:pPr>
      <w:r>
        <w:t xml:space="preserve">       -připojovat zařízení ke zdroji pomocí zásuvek a vidlic,</w:t>
      </w:r>
    </w:p>
    <w:p w14:paraId="2D830919" w14:textId="77777777" w:rsidR="004E061B" w:rsidRDefault="00C0470F">
      <w:pPr>
        <w:pStyle w:val="Standard"/>
        <w:ind w:left="426" w:hanging="426"/>
        <w:jc w:val="both"/>
      </w:pPr>
      <w:r>
        <w:t xml:space="preserve">      -provádět běžnou údržbu a čištění zařízení bez odnímání krytů pomocí nástroje a při odpojeném elektrickém zařízení od sítě,</w:t>
      </w:r>
    </w:p>
    <w:p w14:paraId="1700DD79" w14:textId="77777777" w:rsidR="004E061B" w:rsidRDefault="00C0470F">
      <w:pPr>
        <w:pStyle w:val="Standard"/>
        <w:jc w:val="both"/>
      </w:pPr>
      <w:r>
        <w:t xml:space="preserve">       -vyměňovat světelné zdroje při vypnutém stavu elektrického zařízení.</w:t>
      </w:r>
    </w:p>
    <w:p w14:paraId="173D392F" w14:textId="77777777" w:rsidR="004E061B" w:rsidRDefault="004E061B">
      <w:pPr>
        <w:pStyle w:val="Standard"/>
        <w:jc w:val="both"/>
      </w:pPr>
    </w:p>
    <w:p w14:paraId="6D0E6427" w14:textId="1E1EFF1A" w:rsidR="004E061B" w:rsidRDefault="00C0470F">
      <w:pPr>
        <w:pStyle w:val="Standard"/>
        <w:ind w:left="426" w:hanging="142"/>
        <w:jc w:val="both"/>
      </w:pPr>
      <w:r>
        <w:t xml:space="preserve">          </w:t>
      </w:r>
    </w:p>
    <w:p w14:paraId="5C25270D" w14:textId="262D4D02" w:rsidR="004E061B" w:rsidRDefault="00C0470F">
      <w:pPr>
        <w:pStyle w:val="Standard"/>
        <w:ind w:left="426" w:hanging="142"/>
        <w:jc w:val="both"/>
      </w:pPr>
      <w:r>
        <w:t xml:space="preserve">        Dodavatel (zhotovitel) elektrické instalace předá uživateli před uvedením zařízení do provozu výchozí revizní zprávu a výkresovou dokumentaci upravenou podle skutečnosti. Dodavatel (zhotovitel) elektroinstalace dále seznámí se správným a bezpečným užíváním elektrické instalace prokazatelnou formou osobu, která přejímá příslušné prostory se zabudovanou elektrickou instalací a pevně zabudované elektrické spotřebiče do užívání.  Seznámení se provede prokazatelnou formou s uvedením obsahu seznámení, datem a stvrzeným podpisy účastníků.</w:t>
      </w:r>
    </w:p>
    <w:p w14:paraId="32F000EC" w14:textId="3C60243E" w:rsidR="006F18B9" w:rsidRDefault="006F18B9">
      <w:pPr>
        <w:pStyle w:val="Standard"/>
        <w:ind w:left="426" w:hanging="142"/>
        <w:jc w:val="both"/>
      </w:pPr>
    </w:p>
    <w:p w14:paraId="4F5B3571" w14:textId="77777777" w:rsidR="006F18B9" w:rsidRDefault="006F18B9">
      <w:pPr>
        <w:pStyle w:val="Standard"/>
        <w:ind w:left="426" w:hanging="142"/>
        <w:jc w:val="both"/>
      </w:pPr>
    </w:p>
    <w:p w14:paraId="127CAFC3" w14:textId="77777777" w:rsidR="006F18B9" w:rsidRDefault="00C0470F">
      <w:pPr>
        <w:pStyle w:val="Standard"/>
        <w:ind w:left="426" w:hanging="142"/>
        <w:jc w:val="both"/>
      </w:pPr>
      <w:r>
        <w:t xml:space="preserve">   </w:t>
      </w:r>
    </w:p>
    <w:p w14:paraId="1857F35E" w14:textId="2B590E0C" w:rsidR="004E061B" w:rsidRDefault="00C0470F">
      <w:pPr>
        <w:pStyle w:val="Standard"/>
        <w:ind w:left="426" w:hanging="142"/>
        <w:jc w:val="both"/>
      </w:pPr>
      <w:r>
        <w:t xml:space="preserve">      Provozovatel (uživatel) zařízení je povinen zajistit pravidelnou kontrolu a údržbu elektrického zařízení, včetně pravidelných revizí podle lhůty stanovené ve výchozí revizní zprávě elektrické instalace.</w:t>
      </w:r>
    </w:p>
    <w:p w14:paraId="0120283B" w14:textId="77777777" w:rsidR="004E061B" w:rsidRDefault="00C0470F">
      <w:pPr>
        <w:pStyle w:val="Standard"/>
        <w:ind w:left="426" w:hanging="426"/>
        <w:jc w:val="both"/>
      </w:pPr>
      <w:r>
        <w:t xml:space="preserve">                Provozovatel (uživatel) zařízení je povinen pravidelně 1x za měsíc testovat proudové chrániče pomocí testovacích tlačítek.</w:t>
      </w:r>
    </w:p>
    <w:p w14:paraId="49B4130F" w14:textId="77777777" w:rsidR="004E061B" w:rsidRDefault="004E061B">
      <w:pPr>
        <w:pStyle w:val="Standard"/>
        <w:jc w:val="both"/>
        <w:rPr>
          <w:b/>
          <w:bCs/>
          <w:i/>
          <w:iCs/>
        </w:rPr>
      </w:pPr>
    </w:p>
    <w:p w14:paraId="1C4C0610" w14:textId="77777777" w:rsidR="004E061B" w:rsidRDefault="00C0470F">
      <w:pPr>
        <w:pStyle w:val="Standard"/>
        <w:jc w:val="both"/>
      </w:pPr>
      <w:r>
        <w:t xml:space="preserve"> </w:t>
      </w:r>
    </w:p>
    <w:p w14:paraId="2B914A10" w14:textId="77777777" w:rsidR="004E061B" w:rsidRDefault="004E061B">
      <w:pPr>
        <w:pStyle w:val="Standard"/>
        <w:jc w:val="both"/>
      </w:pPr>
    </w:p>
    <w:p w14:paraId="7FD30EC4" w14:textId="7CC77672" w:rsidR="004E061B" w:rsidRDefault="00C0470F">
      <w:pPr>
        <w:pStyle w:val="Standard"/>
        <w:jc w:val="both"/>
      </w:pPr>
      <w:r>
        <w:t xml:space="preserve">      V Novém Jičíně, </w:t>
      </w:r>
      <w:r w:rsidR="00942CDA">
        <w:t>červen 2023</w:t>
      </w:r>
      <w:r>
        <w:t xml:space="preserve">…………………………………                                                                  </w:t>
      </w:r>
    </w:p>
    <w:p w14:paraId="5EEA75EE" w14:textId="77777777" w:rsidR="004E061B" w:rsidRDefault="004E061B">
      <w:pPr>
        <w:pStyle w:val="Standard"/>
        <w:jc w:val="both"/>
      </w:pPr>
    </w:p>
    <w:p w14:paraId="63BB07B2" w14:textId="77777777" w:rsidR="004E061B" w:rsidRDefault="004E061B">
      <w:pPr>
        <w:pStyle w:val="Standard"/>
        <w:jc w:val="both"/>
      </w:pPr>
    </w:p>
    <w:p w14:paraId="19232882" w14:textId="77777777" w:rsidR="004E061B" w:rsidRDefault="00C0470F">
      <w:pPr>
        <w:pStyle w:val="Standard"/>
        <w:jc w:val="both"/>
      </w:pPr>
      <w:r>
        <w:t xml:space="preserve">                                          </w:t>
      </w:r>
    </w:p>
    <w:p w14:paraId="74D5CBD4" w14:textId="77777777" w:rsidR="004E061B" w:rsidRDefault="004E061B">
      <w:pPr>
        <w:pStyle w:val="Standard"/>
        <w:jc w:val="both"/>
      </w:pPr>
    </w:p>
    <w:sectPr w:rsidR="004E061B">
      <w:headerReference w:type="default" r:id="rId7"/>
      <w:footerReference w:type="default" r:id="rId8"/>
      <w:pgSz w:w="11906" w:h="16838"/>
      <w:pgMar w:top="1134" w:right="1418" w:bottom="1134" w:left="1701" w:header="709" w:footer="4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0F904" w14:textId="77777777" w:rsidR="00C527BF" w:rsidRDefault="00C527BF">
      <w:r>
        <w:separator/>
      </w:r>
    </w:p>
  </w:endnote>
  <w:endnote w:type="continuationSeparator" w:id="0">
    <w:p w14:paraId="3CD1292B" w14:textId="77777777" w:rsidR="00C527BF" w:rsidRDefault="00C52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entury Schoolbook">
    <w:altName w:val="Century Schoolbook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de Latin"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C6AD5" w14:textId="77777777" w:rsidR="00D90520" w:rsidRDefault="00C0470F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>
      <w:t>5</w:t>
    </w:r>
    <w:r>
      <w:fldChar w:fldCharType="end"/>
    </w:r>
  </w:p>
  <w:p w14:paraId="075B6E2F" w14:textId="77777777" w:rsidR="00D90520" w:rsidRDefault="00C527BF">
    <w:pPr>
      <w:pStyle w:val="Zpat1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B4107" w14:textId="77777777" w:rsidR="00C527BF" w:rsidRDefault="00C527BF">
      <w:r>
        <w:rPr>
          <w:color w:val="000000"/>
        </w:rPr>
        <w:separator/>
      </w:r>
    </w:p>
  </w:footnote>
  <w:footnote w:type="continuationSeparator" w:id="0">
    <w:p w14:paraId="5C9B81DC" w14:textId="77777777" w:rsidR="00C527BF" w:rsidRDefault="00C52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EA8A3" w14:textId="77777777" w:rsidR="00D90520" w:rsidRDefault="00C527BF">
    <w:pPr>
      <w:pStyle w:val="Zhlav1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94F00"/>
    <w:multiLevelType w:val="multilevel"/>
    <w:tmpl w:val="079EB8FA"/>
    <w:styleLink w:val="WWNum2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" w15:restartNumberingAfterBreak="0">
    <w:nsid w:val="14A77045"/>
    <w:multiLevelType w:val="multilevel"/>
    <w:tmpl w:val="B6FC63D6"/>
    <w:styleLink w:val="WWNum4"/>
    <w:lvl w:ilvl="0">
      <w:start w:val="1"/>
      <w:numFmt w:val="decimal"/>
      <w:lvlText w:val="2.%1. "/>
      <w:lvlJc w:val="left"/>
      <w:rPr>
        <w:rFonts w:cs="Bookman Old Style"/>
        <w:b w:val="0"/>
        <w:bCs w:val="0"/>
        <w:i w:val="0"/>
        <w:iCs w:val="0"/>
        <w:sz w:val="20"/>
        <w:szCs w:val="20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" w15:restartNumberingAfterBreak="0">
    <w:nsid w:val="31D5084B"/>
    <w:multiLevelType w:val="multilevel"/>
    <w:tmpl w:val="B9A0E680"/>
    <w:styleLink w:val="WWNum5"/>
    <w:lvl w:ilvl="0">
      <w:start w:val="1"/>
      <w:numFmt w:val="decimal"/>
      <w:lvlText w:val="2.2.%1. "/>
      <w:lvlJc w:val="left"/>
      <w:rPr>
        <w:rFonts w:cs="Times New Roman"/>
        <w:b w:val="0"/>
        <w:bCs w:val="0"/>
        <w:i w:val="0"/>
        <w:iCs w:val="0"/>
        <w:sz w:val="20"/>
        <w:szCs w:val="20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" w15:restartNumberingAfterBreak="0">
    <w:nsid w:val="32AF2AC8"/>
    <w:multiLevelType w:val="multilevel"/>
    <w:tmpl w:val="E69C7B78"/>
    <w:styleLink w:val="WWNum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" w15:restartNumberingAfterBreak="0">
    <w:nsid w:val="3EE06996"/>
    <w:multiLevelType w:val="multilevel"/>
    <w:tmpl w:val="C5F27F28"/>
    <w:styleLink w:val="WWNum6"/>
    <w:lvl w:ilvl="0">
      <w:start w:val="3"/>
      <w:numFmt w:val="decimal"/>
      <w:lvlText w:val="%1. "/>
      <w:lvlJc w:val="left"/>
      <w:rPr>
        <w:rFonts w:cs="Bookman Old Style"/>
        <w:b w:val="0"/>
        <w:bCs w:val="0"/>
        <w:i w:val="0"/>
        <w:iCs w:val="0"/>
        <w:sz w:val="20"/>
        <w:szCs w:val="20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" w15:restartNumberingAfterBreak="0">
    <w:nsid w:val="54FF09FF"/>
    <w:multiLevelType w:val="multilevel"/>
    <w:tmpl w:val="627214C0"/>
    <w:styleLink w:val="WWNum7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60C23267"/>
    <w:multiLevelType w:val="multilevel"/>
    <w:tmpl w:val="ACC21662"/>
    <w:styleLink w:val="WWNum3"/>
    <w:lvl w:ilvl="0">
      <w:numFmt w:val="bullet"/>
      <w:lvlText w:val="-"/>
      <w:lvlJc w:val="left"/>
      <w:rPr>
        <w:rFonts w:ascii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7" w15:restartNumberingAfterBreak="0">
    <w:nsid w:val="6C0F47BC"/>
    <w:multiLevelType w:val="multilevel"/>
    <w:tmpl w:val="694AD1E6"/>
    <w:styleLink w:val="WWNum1"/>
    <w:lvl w:ilvl="0">
      <w:numFmt w:val="bullet"/>
      <w:lvlText w:val="-"/>
      <w:lvlJc w:val="left"/>
      <w:rPr>
        <w:rFonts w:ascii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 w16cid:durableId="969281687">
    <w:abstractNumId w:val="7"/>
  </w:num>
  <w:num w:numId="2" w16cid:durableId="1311910440">
    <w:abstractNumId w:val="0"/>
  </w:num>
  <w:num w:numId="3" w16cid:durableId="2011643157">
    <w:abstractNumId w:val="6"/>
  </w:num>
  <w:num w:numId="4" w16cid:durableId="887911698">
    <w:abstractNumId w:val="1"/>
  </w:num>
  <w:num w:numId="5" w16cid:durableId="353580611">
    <w:abstractNumId w:val="2"/>
  </w:num>
  <w:num w:numId="6" w16cid:durableId="896471817">
    <w:abstractNumId w:val="4"/>
  </w:num>
  <w:num w:numId="7" w16cid:durableId="1884292030">
    <w:abstractNumId w:val="5"/>
  </w:num>
  <w:num w:numId="8" w16cid:durableId="920211326">
    <w:abstractNumId w:val="3"/>
  </w:num>
  <w:num w:numId="9" w16cid:durableId="616180059">
    <w:abstractNumId w:val="0"/>
  </w:num>
  <w:num w:numId="10" w16cid:durableId="1678146984">
    <w:abstractNumId w:val="6"/>
  </w:num>
  <w:num w:numId="11" w16cid:durableId="1394548877">
    <w:abstractNumId w:val="7"/>
  </w:num>
  <w:num w:numId="12" w16cid:durableId="183059204">
    <w:abstractNumId w:val="1"/>
    <w:lvlOverride w:ilvl="0">
      <w:startOverride w:val="1"/>
    </w:lvlOverride>
  </w:num>
  <w:num w:numId="13" w16cid:durableId="226772046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061B"/>
    <w:rsid w:val="00061FC6"/>
    <w:rsid w:val="000638DE"/>
    <w:rsid w:val="000F2D5F"/>
    <w:rsid w:val="00254974"/>
    <w:rsid w:val="002916FE"/>
    <w:rsid w:val="00352C0F"/>
    <w:rsid w:val="00442AF3"/>
    <w:rsid w:val="004D7B33"/>
    <w:rsid w:val="004E061B"/>
    <w:rsid w:val="00616397"/>
    <w:rsid w:val="0066706F"/>
    <w:rsid w:val="006F18B9"/>
    <w:rsid w:val="00823D20"/>
    <w:rsid w:val="00830DFB"/>
    <w:rsid w:val="00874850"/>
    <w:rsid w:val="00912FC2"/>
    <w:rsid w:val="00942CDA"/>
    <w:rsid w:val="009D0CC3"/>
    <w:rsid w:val="009D6255"/>
    <w:rsid w:val="00A07A66"/>
    <w:rsid w:val="00AC091B"/>
    <w:rsid w:val="00C0470F"/>
    <w:rsid w:val="00C527BF"/>
    <w:rsid w:val="00C934C4"/>
    <w:rsid w:val="00E9606C"/>
    <w:rsid w:val="00FB4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2C380"/>
  <w15:docId w15:val="{1428D7D3-EC7B-47C2-B3B3-96D0CA4D7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sz w:val="22"/>
        <w:szCs w:val="22"/>
        <w:lang w:val="cs-CZ" w:eastAsia="cs-CZ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sz w:val="20"/>
      <w:szCs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jc w:val="both"/>
    </w:pPr>
    <w:rPr>
      <w:rFonts w:ascii="Bookman Old Style" w:hAnsi="Bookman Old Style" w:cs="Bookman Old Style"/>
    </w:rPr>
  </w:style>
  <w:style w:type="paragraph" w:styleId="Seznam">
    <w:name w:val="List"/>
    <w:basedOn w:val="Textbody"/>
    <w:rPr>
      <w:rFonts w:cs="Mangal"/>
      <w:sz w:val="24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  <w:sz w:val="24"/>
    </w:rPr>
  </w:style>
  <w:style w:type="paragraph" w:customStyle="1" w:styleId="Titulek1">
    <w:name w:val="Titulek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dpis11">
    <w:name w:val="Nadpis 11"/>
    <w:basedOn w:val="Standard"/>
    <w:pPr>
      <w:keepNext/>
      <w:jc w:val="both"/>
      <w:outlineLvl w:val="0"/>
    </w:pPr>
    <w:rPr>
      <w:u w:val="single"/>
    </w:rPr>
  </w:style>
  <w:style w:type="paragraph" w:customStyle="1" w:styleId="Nadpis21">
    <w:name w:val="Nadpis 21"/>
    <w:basedOn w:val="Standard"/>
    <w:pPr>
      <w:keepNext/>
      <w:outlineLvl w:val="1"/>
    </w:pPr>
    <w:rPr>
      <w:u w:val="single"/>
    </w:rPr>
  </w:style>
  <w:style w:type="paragraph" w:customStyle="1" w:styleId="Nadpis41">
    <w:name w:val="Nadpis 41"/>
    <w:basedOn w:val="Standard"/>
    <w:pPr>
      <w:keepNext/>
      <w:jc w:val="both"/>
      <w:outlineLvl w:val="3"/>
    </w:pPr>
    <w:rPr>
      <w:rFonts w:ascii="Bookman Old Style" w:hAnsi="Bookman Old Style" w:cs="Bookman Old Style"/>
      <w:b/>
      <w:bCs/>
      <w:u w:val="single"/>
    </w:rPr>
  </w:style>
  <w:style w:type="paragraph" w:styleId="Zkladntext2">
    <w:name w:val="Body Text 2"/>
    <w:basedOn w:val="Standard"/>
    <w:pPr>
      <w:spacing w:after="120"/>
      <w:ind w:left="283"/>
    </w:pPr>
  </w:style>
  <w:style w:type="paragraph" w:styleId="Zkladntext3">
    <w:name w:val="Body Text 3"/>
    <w:basedOn w:val="Zkladntext2"/>
  </w:style>
  <w:style w:type="paragraph" w:customStyle="1" w:styleId="Zpat1">
    <w:name w:val="Zápatí1"/>
    <w:basedOn w:val="Standard"/>
    <w:pPr>
      <w:tabs>
        <w:tab w:val="center" w:pos="4536"/>
        <w:tab w:val="right" w:pos="9072"/>
      </w:tabs>
    </w:pPr>
  </w:style>
  <w:style w:type="paragraph" w:customStyle="1" w:styleId="Zhlav1">
    <w:name w:val="Záhlaví1"/>
    <w:basedOn w:val="Standard"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Standard"/>
    <w:pPr>
      <w:ind w:left="567" w:hanging="567"/>
      <w:jc w:val="both"/>
    </w:pPr>
    <w:rPr>
      <w:rFonts w:ascii="Bookman Old Style" w:hAnsi="Bookman Old Style" w:cs="Bookman Old Style"/>
    </w:rPr>
  </w:style>
  <w:style w:type="paragraph" w:styleId="Zkladntextodsazen3">
    <w:name w:val="Body Text Indent 3"/>
    <w:basedOn w:val="Standard"/>
    <w:pPr>
      <w:ind w:left="567" w:firstLine="426"/>
      <w:jc w:val="both"/>
    </w:pPr>
    <w:rPr>
      <w:rFonts w:ascii="Bookman Old Style" w:hAnsi="Bookman Old Style" w:cs="Bookman Old Style"/>
    </w:rPr>
  </w:style>
  <w:style w:type="paragraph" w:customStyle="1" w:styleId="Framecontents">
    <w:name w:val="Frame contents"/>
    <w:basedOn w:val="Standard"/>
  </w:style>
  <w:style w:type="paragraph" w:styleId="Zhlav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Zpat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xtbubliny">
    <w:name w:val="Balloon Text"/>
    <w:basedOn w:val="Standard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rPr>
      <w:rFonts w:ascii="Cambria" w:hAnsi="Cambria" w:cs="Cambria"/>
      <w:b/>
      <w:bCs/>
      <w:kern w:val="3"/>
      <w:sz w:val="32"/>
      <w:szCs w:val="32"/>
    </w:rPr>
  </w:style>
  <w:style w:type="character" w:customStyle="1" w:styleId="Nadpis2Char">
    <w:name w:val="Nadpis 2 Char"/>
    <w:basedOn w:val="Standardnpsmoodstavce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4Char">
    <w:name w:val="Nadpis 4 Char"/>
    <w:basedOn w:val="Standardnpsmoodstavce"/>
    <w:rPr>
      <w:rFonts w:ascii="Calibri" w:hAnsi="Calibri" w:cs="Calibri"/>
      <w:b/>
      <w:bCs/>
      <w:sz w:val="28"/>
      <w:szCs w:val="28"/>
    </w:rPr>
  </w:style>
  <w:style w:type="character" w:customStyle="1" w:styleId="Zkladntext2Char">
    <w:name w:val="Základní text 2 Char"/>
    <w:basedOn w:val="Standardnpsmoodstavce"/>
    <w:rPr>
      <w:sz w:val="20"/>
      <w:szCs w:val="20"/>
    </w:rPr>
  </w:style>
  <w:style w:type="character" w:customStyle="1" w:styleId="Zkladntext3Char">
    <w:name w:val="Základní text 3 Char"/>
    <w:basedOn w:val="Standardnpsmoodstavce"/>
    <w:rPr>
      <w:sz w:val="16"/>
      <w:szCs w:val="16"/>
    </w:rPr>
  </w:style>
  <w:style w:type="character" w:customStyle="1" w:styleId="ZpatChar">
    <w:name w:val="Zápatí Char"/>
    <w:basedOn w:val="Standardnpsmoodstavce"/>
    <w:rPr>
      <w:sz w:val="20"/>
      <w:szCs w:val="20"/>
    </w:rPr>
  </w:style>
  <w:style w:type="character" w:styleId="slostrnky">
    <w:name w:val="page number"/>
    <w:basedOn w:val="Standardnpsmoodstavce"/>
  </w:style>
  <w:style w:type="character" w:customStyle="1" w:styleId="ZhlavChar">
    <w:name w:val="Záhlaví Char"/>
    <w:basedOn w:val="Standardnpsmoodstavce"/>
    <w:rPr>
      <w:sz w:val="20"/>
      <w:szCs w:val="20"/>
    </w:rPr>
  </w:style>
  <w:style w:type="character" w:customStyle="1" w:styleId="ZkladntextChar">
    <w:name w:val="Základní text Char"/>
    <w:basedOn w:val="Standardnpsmoodstavce"/>
    <w:rPr>
      <w:sz w:val="20"/>
      <w:szCs w:val="20"/>
    </w:rPr>
  </w:style>
  <w:style w:type="character" w:customStyle="1" w:styleId="Zkladntextodsazen2Char">
    <w:name w:val="Základní text odsazený 2 Char"/>
    <w:basedOn w:val="Standardnpsmoodstavce"/>
    <w:rPr>
      <w:sz w:val="20"/>
      <w:szCs w:val="20"/>
    </w:rPr>
  </w:style>
  <w:style w:type="character" w:customStyle="1" w:styleId="Zkladntextodsazen3Char">
    <w:name w:val="Základní text odsazený 3 Char"/>
    <w:basedOn w:val="Standardnpsmoodstavce"/>
    <w:rPr>
      <w:sz w:val="16"/>
      <w:szCs w:val="16"/>
    </w:rPr>
  </w:style>
  <w:style w:type="character" w:customStyle="1" w:styleId="ListLabel1">
    <w:name w:val="ListLabel 1"/>
    <w:rPr>
      <w:rFonts w:cs="Bookman Old Style"/>
      <w:b w:val="0"/>
      <w:bCs w:val="0"/>
      <w:i w:val="0"/>
      <w:iCs w:val="0"/>
      <w:sz w:val="20"/>
      <w:szCs w:val="20"/>
      <w:u w:val="none"/>
    </w:rPr>
  </w:style>
  <w:style w:type="character" w:customStyle="1" w:styleId="ListLabel2">
    <w:name w:val="ListLabel 2"/>
    <w:rPr>
      <w:rFonts w:cs="Times New Roman"/>
      <w:b w:val="0"/>
      <w:bCs w:val="0"/>
      <w:i w:val="0"/>
      <w:iCs w:val="0"/>
      <w:sz w:val="20"/>
      <w:szCs w:val="20"/>
      <w:u w:val="none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u w:val="none"/>
    </w:rPr>
  </w:style>
  <w:style w:type="character" w:customStyle="1" w:styleId="ListLabel5">
    <w:name w:val="ListLabel 5"/>
    <w:rPr>
      <w:rFonts w:eastAsia="Times New Roman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Wingdings"/>
    </w:rPr>
  </w:style>
  <w:style w:type="character" w:customStyle="1" w:styleId="ListLabel8">
    <w:name w:val="ListLabel 8"/>
    <w:rPr>
      <w:rFonts w:cs="Symbol"/>
    </w:rPr>
  </w:style>
  <w:style w:type="character" w:customStyle="1" w:styleId="ListLabel9">
    <w:name w:val="ListLabel 9"/>
    <w:rPr>
      <w:rFonts w:cs="Wingdings"/>
      <w:b w:val="0"/>
      <w:bCs w:val="0"/>
      <w:i w:val="0"/>
      <w:iCs w:val="0"/>
      <w:sz w:val="20"/>
      <w:szCs w:val="20"/>
      <w:u w:val="none"/>
    </w:rPr>
  </w:style>
  <w:style w:type="character" w:customStyle="1" w:styleId="ZhlavChar1">
    <w:name w:val="Záhlaví Char1"/>
    <w:basedOn w:val="Standardnpsmoodstavce"/>
  </w:style>
  <w:style w:type="character" w:customStyle="1" w:styleId="ZpatChar1">
    <w:name w:val="Zápatí Char1"/>
    <w:basedOn w:val="Standardnpsmoodstavce"/>
  </w:style>
  <w:style w:type="character" w:customStyle="1" w:styleId="TextbublinyChar">
    <w:name w:val="Text bubliny Char"/>
    <w:basedOn w:val="Standardnpsmoodstavce"/>
    <w:rPr>
      <w:rFonts w:ascii="Segoe UI" w:hAnsi="Segoe UI" w:cs="Segoe UI"/>
      <w:sz w:val="18"/>
      <w:szCs w:val="18"/>
    </w:rPr>
  </w:style>
  <w:style w:type="character" w:customStyle="1" w:styleId="ListLabel10">
    <w:name w:val="ListLabel 10"/>
    <w:rPr>
      <w:rFonts w:eastAsia="Times New Roman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Wingdings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Wingdings"/>
    </w:rPr>
  </w:style>
  <w:style w:type="character" w:customStyle="1" w:styleId="ListLabel16">
    <w:name w:val="ListLabel 16"/>
    <w:rPr>
      <w:rFonts w:cs="Symbol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Wingdings"/>
    </w:rPr>
  </w:style>
  <w:style w:type="character" w:customStyle="1" w:styleId="ListLabel19">
    <w:name w:val="ListLabel 19"/>
    <w:rPr>
      <w:rFonts w:cs="Symbol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rFonts w:cs="Wingdings"/>
    </w:rPr>
  </w:style>
  <w:style w:type="character" w:customStyle="1" w:styleId="ListLabel22">
    <w:name w:val="ListLabel 22"/>
    <w:rPr>
      <w:rFonts w:cs="Symbol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Wingdings"/>
    </w:rPr>
  </w:style>
  <w:style w:type="character" w:customStyle="1" w:styleId="ListLabel25">
    <w:name w:val="ListLabel 25"/>
    <w:rPr>
      <w:rFonts w:cs="Symbol"/>
    </w:rPr>
  </w:style>
  <w:style w:type="character" w:customStyle="1" w:styleId="ListLabel26">
    <w:name w:val="ListLabel 26"/>
    <w:rPr>
      <w:rFonts w:cs="Courier New"/>
    </w:rPr>
  </w:style>
  <w:style w:type="character" w:customStyle="1" w:styleId="ListLabel27">
    <w:name w:val="ListLabel 27"/>
    <w:rPr>
      <w:rFonts w:cs="Wingdings"/>
    </w:rPr>
  </w:style>
  <w:style w:type="character" w:customStyle="1" w:styleId="ListLabel28">
    <w:name w:val="ListLabel 28"/>
    <w:rPr>
      <w:rFonts w:eastAsia="Times New Roman"/>
    </w:rPr>
  </w:style>
  <w:style w:type="character" w:customStyle="1" w:styleId="ListLabel29">
    <w:name w:val="ListLabel 29"/>
    <w:rPr>
      <w:rFonts w:cs="Courier New"/>
    </w:rPr>
  </w:style>
  <w:style w:type="character" w:customStyle="1" w:styleId="ListLabel30">
    <w:name w:val="ListLabel 30"/>
    <w:rPr>
      <w:rFonts w:cs="Wingdings"/>
    </w:rPr>
  </w:style>
  <w:style w:type="character" w:customStyle="1" w:styleId="ListLabel31">
    <w:name w:val="ListLabel 31"/>
    <w:rPr>
      <w:rFonts w:cs="Symbol"/>
    </w:rPr>
  </w:style>
  <w:style w:type="character" w:customStyle="1" w:styleId="ListLabel32">
    <w:name w:val="ListLabel 32"/>
    <w:rPr>
      <w:rFonts w:cs="Courier New"/>
    </w:rPr>
  </w:style>
  <w:style w:type="character" w:customStyle="1" w:styleId="ListLabel33">
    <w:name w:val="ListLabel 33"/>
    <w:rPr>
      <w:rFonts w:cs="Wingdings"/>
    </w:rPr>
  </w:style>
  <w:style w:type="character" w:customStyle="1" w:styleId="ListLabel34">
    <w:name w:val="ListLabel 34"/>
    <w:rPr>
      <w:rFonts w:cs="Symbol"/>
    </w:rPr>
  </w:style>
  <w:style w:type="character" w:customStyle="1" w:styleId="ListLabel35">
    <w:name w:val="ListLabel 35"/>
    <w:rPr>
      <w:rFonts w:cs="Courier New"/>
    </w:rPr>
  </w:style>
  <w:style w:type="character" w:customStyle="1" w:styleId="ListLabel36">
    <w:name w:val="ListLabel 36"/>
    <w:rPr>
      <w:rFonts w:cs="Wingdings"/>
    </w:rPr>
  </w:style>
  <w:style w:type="character" w:customStyle="1" w:styleId="ListLabel37">
    <w:name w:val="ListLabel 37"/>
    <w:rPr>
      <w:rFonts w:cs="Bookman Old Style"/>
      <w:b w:val="0"/>
      <w:bCs w:val="0"/>
      <w:i w:val="0"/>
      <w:iCs w:val="0"/>
      <w:sz w:val="20"/>
      <w:szCs w:val="20"/>
      <w:u w:val="none"/>
    </w:rPr>
  </w:style>
  <w:style w:type="character" w:customStyle="1" w:styleId="ListLabel38">
    <w:name w:val="ListLabel 38"/>
    <w:rPr>
      <w:rFonts w:cs="Times New Roman"/>
      <w:b w:val="0"/>
      <w:bCs w:val="0"/>
      <w:i w:val="0"/>
      <w:iCs w:val="0"/>
      <w:sz w:val="20"/>
      <w:szCs w:val="20"/>
      <w:u w:val="none"/>
    </w:rPr>
  </w:style>
  <w:style w:type="character" w:customStyle="1" w:styleId="ListLabel39">
    <w:name w:val="ListLabel 39"/>
    <w:rPr>
      <w:rFonts w:cs="Bookman Old Style"/>
      <w:b w:val="0"/>
      <w:bCs w:val="0"/>
      <w:i w:val="0"/>
      <w:iCs w:val="0"/>
      <w:sz w:val="20"/>
      <w:szCs w:val="20"/>
      <w:u w:val="none"/>
    </w:rPr>
  </w:style>
  <w:style w:type="character" w:customStyle="1" w:styleId="ListLabel40">
    <w:name w:val="ListLabel 40"/>
    <w:rPr>
      <w:rFonts w:cs="Times New Roman"/>
    </w:rPr>
  </w:style>
  <w:style w:type="character" w:customStyle="1" w:styleId="ListLabel41">
    <w:name w:val="ListLabel 41"/>
    <w:rPr>
      <w:rFonts w:cs="Courier New"/>
    </w:rPr>
  </w:style>
  <w:style w:type="character" w:customStyle="1" w:styleId="ListLabel42">
    <w:name w:val="ListLabel 42"/>
    <w:rPr>
      <w:rFonts w:cs="Wingdings"/>
    </w:rPr>
  </w:style>
  <w:style w:type="character" w:customStyle="1" w:styleId="ListLabel43">
    <w:name w:val="ListLabel 43"/>
    <w:rPr>
      <w:rFonts w:cs="Symbol"/>
    </w:rPr>
  </w:style>
  <w:style w:type="character" w:customStyle="1" w:styleId="ListLabel44">
    <w:name w:val="ListLabel 44"/>
    <w:rPr>
      <w:rFonts w:cs="Bookman Old Style"/>
      <w:b w:val="0"/>
      <w:bCs w:val="0"/>
      <w:i w:val="0"/>
      <w:iCs w:val="0"/>
      <w:sz w:val="20"/>
      <w:szCs w:val="20"/>
      <w:u w:val="none"/>
    </w:rPr>
  </w:style>
  <w:style w:type="character" w:customStyle="1" w:styleId="ListLabel45">
    <w:name w:val="ListLabel 45"/>
    <w:rPr>
      <w:rFonts w:cs="Times New Roman"/>
      <w:b w:val="0"/>
      <w:bCs w:val="0"/>
      <w:i w:val="0"/>
      <w:iCs w:val="0"/>
      <w:sz w:val="20"/>
      <w:szCs w:val="20"/>
      <w:u w:val="none"/>
    </w:rPr>
  </w:style>
  <w:style w:type="numbering" w:customStyle="1" w:styleId="WWNum1">
    <w:name w:val="WWNum1"/>
    <w:basedOn w:val="Bezseznamu"/>
    <w:pPr>
      <w:numPr>
        <w:numId w:val="1"/>
      </w:numPr>
    </w:pPr>
  </w:style>
  <w:style w:type="numbering" w:customStyle="1" w:styleId="WWNum2">
    <w:name w:val="WWNum2"/>
    <w:basedOn w:val="Bezseznamu"/>
    <w:pPr>
      <w:numPr>
        <w:numId w:val="2"/>
      </w:numPr>
    </w:pPr>
  </w:style>
  <w:style w:type="numbering" w:customStyle="1" w:styleId="WWNum3">
    <w:name w:val="WWNum3"/>
    <w:basedOn w:val="Bezseznamu"/>
    <w:pPr>
      <w:numPr>
        <w:numId w:val="3"/>
      </w:numPr>
    </w:pPr>
  </w:style>
  <w:style w:type="numbering" w:customStyle="1" w:styleId="WWNum4">
    <w:name w:val="WWNum4"/>
    <w:basedOn w:val="Bezseznamu"/>
    <w:pPr>
      <w:numPr>
        <w:numId w:val="4"/>
      </w:numPr>
    </w:pPr>
  </w:style>
  <w:style w:type="numbering" w:customStyle="1" w:styleId="WWNum5">
    <w:name w:val="WWNum5"/>
    <w:basedOn w:val="Bezseznamu"/>
    <w:pPr>
      <w:numPr>
        <w:numId w:val="5"/>
      </w:numPr>
    </w:pPr>
  </w:style>
  <w:style w:type="numbering" w:customStyle="1" w:styleId="WWNum6">
    <w:name w:val="WWNum6"/>
    <w:basedOn w:val="Bezseznamu"/>
    <w:pPr>
      <w:numPr>
        <w:numId w:val="6"/>
      </w:numPr>
    </w:pPr>
  </w:style>
  <w:style w:type="numbering" w:customStyle="1" w:styleId="WWNum7">
    <w:name w:val="WWNum7"/>
    <w:basedOn w:val="Bezseznamu"/>
    <w:pPr>
      <w:numPr>
        <w:numId w:val="7"/>
      </w:numPr>
    </w:pPr>
  </w:style>
  <w:style w:type="numbering" w:customStyle="1" w:styleId="WWNum8">
    <w:name w:val="WWNum8"/>
    <w:basedOn w:val="Bezseznamu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1018</Words>
  <Characters>6010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/>
  <LinksUpToDate>false</LinksUpToDate>
  <CharactersWithSpaces>7014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>Elektroinstalace a hromosvod</dc:subject>
  <dc:creator>Miloslav  Jurák</dc:creator>
  <cp:lastModifiedBy>Libor Jurák</cp:lastModifiedBy>
  <cp:revision>3</cp:revision>
  <cp:lastPrinted>2019-04-22T15:33:00Z</cp:lastPrinted>
  <dcterms:created xsi:type="dcterms:W3CDTF">2023-06-20T05:48:00Z</dcterms:created>
  <dcterms:modified xsi:type="dcterms:W3CDTF">2023-06-20T05:55:00Z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Elmess JaJ, s.r.o., Dlouhá 24, Nový Jičín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